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DAE8" w14:textId="007F99F2" w:rsidR="00D55A72" w:rsidRPr="00D55A72" w:rsidRDefault="002C39C2" w:rsidP="00D3254C">
      <w:pPr>
        <w:pStyle w:val="Heading1"/>
        <w:spacing w:before="0" w:after="120"/>
      </w:pPr>
      <w:bookmarkStart w:id="0" w:name="_Toc226717758"/>
      <w:r w:rsidRPr="002C39C2">
        <w:t>Service Provider Contract Privacy Checklist</w:t>
      </w:r>
      <w:bookmarkEnd w:id="0"/>
    </w:p>
    <w:p w14:paraId="4F0A7693" w14:textId="21D389C1" w:rsidR="002C39C2" w:rsidRDefault="002C39C2" w:rsidP="002C39C2">
      <w:r w:rsidRPr="002E0B0F">
        <w:t>Below is a list of provisions that a public body should</w:t>
      </w:r>
      <w:r w:rsidR="00052E62">
        <w:t xml:space="preserve"> consider</w:t>
      </w:r>
      <w:r w:rsidRPr="002E0B0F">
        <w:t xml:space="preserve"> includ</w:t>
      </w:r>
      <w:r w:rsidR="00052E62">
        <w:t>ing</w:t>
      </w:r>
      <w:r w:rsidRPr="002E0B0F">
        <w:t xml:space="preserve"> in contracts with service providers when the service provider performs a service </w:t>
      </w:r>
      <w:r w:rsidRPr="002E0B0F">
        <w:rPr>
          <w:u w:val="single"/>
        </w:rPr>
        <w:t>on behalf of a public body</w:t>
      </w:r>
      <w:r w:rsidRPr="002E0B0F">
        <w:t xml:space="preserve"> and in doing so has access to personal information subject to </w:t>
      </w:r>
      <w:r>
        <w:t xml:space="preserve">the </w:t>
      </w:r>
      <w:r w:rsidRPr="002C39C2">
        <w:rPr>
          <w:i/>
          <w:iCs/>
        </w:rPr>
        <w:t>Protection of Privacy Act</w:t>
      </w:r>
      <w:r>
        <w:t xml:space="preserve"> (POPA)</w:t>
      </w:r>
      <w:r w:rsidRPr="002E0B0F">
        <w:t xml:space="preserve">. The contract should also include provisions regarding an individual’s right of access to their own personal information under </w:t>
      </w:r>
      <w:r>
        <w:t xml:space="preserve">the </w:t>
      </w:r>
      <w:r w:rsidRPr="002C39C2">
        <w:rPr>
          <w:i/>
          <w:iCs/>
        </w:rPr>
        <w:t>Access to Information Act</w:t>
      </w:r>
      <w:r>
        <w:t xml:space="preserve"> (ATIA)</w:t>
      </w:r>
      <w:r w:rsidRPr="002E0B0F">
        <w:t>.</w:t>
      </w:r>
    </w:p>
    <w:tbl>
      <w:tblPr>
        <w:tblStyle w:val="TableGrid"/>
        <w:tblW w:w="9354"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shd w:val="clear" w:color="auto" w:fill="EAE2DD" w:themeFill="background2"/>
        <w:tblLook w:val="04A0" w:firstRow="1" w:lastRow="0" w:firstColumn="1" w:lastColumn="0" w:noHBand="0" w:noVBand="1"/>
      </w:tblPr>
      <w:tblGrid>
        <w:gridCol w:w="9354"/>
      </w:tblGrid>
      <w:tr w:rsidR="002C39C2" w14:paraId="0FC5018B" w14:textId="77777777" w:rsidTr="00D47BD8">
        <w:trPr>
          <w:jc w:val="center"/>
        </w:trPr>
        <w:tc>
          <w:tcPr>
            <w:tcW w:w="9354" w:type="dxa"/>
            <w:shd w:val="clear" w:color="auto" w:fill="EAE2DD" w:themeFill="background2"/>
          </w:tcPr>
          <w:p w14:paraId="605AA050" w14:textId="2CEDC459" w:rsidR="002C39C2" w:rsidRDefault="002C39C2" w:rsidP="002C39C2">
            <w:r w:rsidRPr="002C39C2">
              <w:rPr>
                <w:b/>
                <w:bCs/>
              </w:rPr>
              <w:t>DISCLAIMER</w:t>
            </w:r>
            <w:r w:rsidRPr="002C39C2">
              <w:t xml:space="preserve">: This checklist IS NOT a complete list of contract provisions that are generally in contracts, such as indemnification clauses. The applicability of these clauses depends on the nature of the work of the service provider for the public body and must be customized accordingly. A public body should consult with legal counsel when </w:t>
            </w:r>
            <w:proofErr w:type="gramStart"/>
            <w:r w:rsidRPr="002C39C2">
              <w:t>entering into</w:t>
            </w:r>
            <w:proofErr w:type="gramEnd"/>
            <w:r w:rsidRPr="002C39C2">
              <w:t xml:space="preserve"> contracts as a measure of ensuring their legal interests will be met through the contract provisions.</w:t>
            </w:r>
          </w:p>
        </w:tc>
      </w:tr>
    </w:tbl>
    <w:p w14:paraId="00270350" w14:textId="77777777" w:rsidR="001A79D8" w:rsidRDefault="001A79D8" w:rsidP="002C39C2">
      <w:pPr>
        <w:spacing w:after="0" w:line="240" w:lineRule="auto"/>
        <w:rPr>
          <w:rFonts w:ascii="Calibri" w:hAnsi="Calibri" w:cs="Calibri"/>
        </w:rPr>
        <w:sectPr w:rsidR="001A79D8" w:rsidSect="00163AEC">
          <w:headerReference w:type="default" r:id="rId7"/>
          <w:footerReference w:type="default" r:id="rId8"/>
          <w:footerReference w:type="first" r:id="rId9"/>
          <w:pgSz w:w="12240" w:h="15840"/>
          <w:pgMar w:top="1135" w:right="1440" w:bottom="851" w:left="1440" w:header="708" w:footer="708" w:gutter="0"/>
          <w:cols w:space="708"/>
          <w:titlePg/>
          <w:docGrid w:linePitch="360"/>
        </w:sectPr>
      </w:pPr>
    </w:p>
    <w:tbl>
      <w:tblPr>
        <w:tblW w:w="5765" w:type="pct"/>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735"/>
        <w:gridCol w:w="7656"/>
        <w:gridCol w:w="569"/>
        <w:gridCol w:w="1814"/>
      </w:tblGrid>
      <w:tr w:rsidR="001A79D8" w:rsidRPr="002E0B0F" w14:paraId="0A1FA376" w14:textId="77777777" w:rsidTr="00D47BD8">
        <w:trPr>
          <w:cantSplit/>
          <w:tblHeader/>
          <w:jc w:val="center"/>
        </w:trPr>
        <w:tc>
          <w:tcPr>
            <w:tcW w:w="341" w:type="pct"/>
            <w:shd w:val="clear" w:color="auto" w:fill="EAE2DD" w:themeFill="background2"/>
          </w:tcPr>
          <w:p w14:paraId="5C7A228E" w14:textId="77777777" w:rsidR="002C39C2" w:rsidRPr="00F773FE" w:rsidRDefault="002C39C2" w:rsidP="00DF3835">
            <w:pPr>
              <w:spacing w:after="0" w:line="240" w:lineRule="auto"/>
              <w:rPr>
                <w:b/>
                <w:bCs/>
                <w:sz w:val="24"/>
                <w:szCs w:val="24"/>
              </w:rPr>
            </w:pPr>
            <w:r w:rsidRPr="00F773FE">
              <w:rPr>
                <w:b/>
                <w:bCs/>
                <w:sz w:val="24"/>
                <w:szCs w:val="24"/>
              </w:rPr>
              <w:t>TOPIC</w:t>
            </w:r>
          </w:p>
        </w:tc>
        <w:tc>
          <w:tcPr>
            <w:tcW w:w="3553" w:type="pct"/>
            <w:shd w:val="clear" w:color="auto" w:fill="EAE2DD" w:themeFill="background2"/>
            <w:tcMar>
              <w:top w:w="75" w:type="dxa"/>
              <w:left w:w="75" w:type="dxa"/>
              <w:bottom w:w="75" w:type="dxa"/>
              <w:right w:w="75" w:type="dxa"/>
            </w:tcMar>
            <w:vAlign w:val="center"/>
            <w:hideMark/>
          </w:tcPr>
          <w:p w14:paraId="548C89BC" w14:textId="77777777" w:rsidR="002C39C2" w:rsidRPr="002E0B0F" w:rsidRDefault="002C39C2" w:rsidP="00DF3835">
            <w:pPr>
              <w:spacing w:after="0" w:line="240" w:lineRule="auto"/>
              <w:rPr>
                <w:b/>
                <w:bCs/>
                <w:color w:val="000000" w:themeColor="text1"/>
                <w:sz w:val="24"/>
                <w:szCs w:val="24"/>
              </w:rPr>
            </w:pPr>
            <w:r w:rsidRPr="002E0B0F">
              <w:rPr>
                <w:b/>
                <w:bCs/>
                <w:color w:val="000000" w:themeColor="text1"/>
                <w:sz w:val="24"/>
                <w:szCs w:val="24"/>
              </w:rPr>
              <w:t>DESCRIPTION</w:t>
            </w:r>
          </w:p>
        </w:tc>
        <w:tc>
          <w:tcPr>
            <w:tcW w:w="264" w:type="pct"/>
            <w:shd w:val="clear" w:color="auto" w:fill="EAE2DD" w:themeFill="background2"/>
            <w:vAlign w:val="center"/>
          </w:tcPr>
          <w:p w14:paraId="2E8CDD92" w14:textId="77777777" w:rsidR="002C39C2" w:rsidRPr="002E0B0F" w:rsidRDefault="002C39C2" w:rsidP="00CE0777">
            <w:pPr>
              <w:spacing w:after="0" w:line="240" w:lineRule="auto"/>
              <w:jc w:val="center"/>
              <w:rPr>
                <w:b/>
                <w:bCs/>
                <w:color w:val="000000" w:themeColor="text1"/>
                <w:sz w:val="24"/>
                <w:szCs w:val="24"/>
              </w:rPr>
            </w:pPr>
            <w:r w:rsidRPr="002E0B0F">
              <w:rPr>
                <w:b/>
                <w:bCs/>
                <w:color w:val="000000" w:themeColor="text1"/>
                <w:sz w:val="24"/>
                <w:szCs w:val="24"/>
              </w:rPr>
              <w:t>YES</w:t>
            </w:r>
          </w:p>
        </w:tc>
        <w:tc>
          <w:tcPr>
            <w:tcW w:w="842" w:type="pct"/>
            <w:shd w:val="clear" w:color="auto" w:fill="EAE2DD" w:themeFill="background2"/>
            <w:vAlign w:val="center"/>
          </w:tcPr>
          <w:p w14:paraId="6D1CEF92" w14:textId="77777777" w:rsidR="002C39C2" w:rsidRPr="002E0B0F" w:rsidRDefault="002C39C2" w:rsidP="00CE0777">
            <w:pPr>
              <w:spacing w:after="0" w:line="240" w:lineRule="auto"/>
              <w:jc w:val="center"/>
              <w:rPr>
                <w:b/>
                <w:bCs/>
                <w:color w:val="000000" w:themeColor="text1"/>
                <w:sz w:val="24"/>
                <w:szCs w:val="24"/>
              </w:rPr>
            </w:pPr>
            <w:r w:rsidRPr="002E0B0F">
              <w:rPr>
                <w:b/>
                <w:bCs/>
                <w:color w:val="000000" w:themeColor="text1"/>
                <w:sz w:val="24"/>
                <w:szCs w:val="24"/>
              </w:rPr>
              <w:t>NO (Reason)</w:t>
            </w:r>
          </w:p>
        </w:tc>
      </w:tr>
      <w:tr w:rsidR="001A79D8" w:rsidRPr="002E0B0F" w14:paraId="4EEA7A83" w14:textId="77777777" w:rsidTr="00D47BD8">
        <w:trPr>
          <w:cantSplit/>
          <w:trHeight w:val="1072"/>
          <w:jc w:val="center"/>
        </w:trPr>
        <w:tc>
          <w:tcPr>
            <w:tcW w:w="341" w:type="pct"/>
            <w:vMerge w:val="restart"/>
            <w:shd w:val="clear" w:color="auto" w:fill="EAE2DD" w:themeFill="background2"/>
            <w:textDirection w:val="btLr"/>
            <w:vAlign w:val="center"/>
          </w:tcPr>
          <w:p w14:paraId="7ACE9D3C" w14:textId="750AB5F3" w:rsidR="002C39C2" w:rsidRPr="00054ECA" w:rsidRDefault="002C39C2" w:rsidP="00DF3835">
            <w:pPr>
              <w:pStyle w:val="Heading3"/>
              <w:spacing w:before="0" w:after="0"/>
              <w:jc w:val="center"/>
              <w:rPr>
                <w:b w:val="0"/>
                <w:bCs w:val="0"/>
                <w:sz w:val="28"/>
                <w:szCs w:val="32"/>
              </w:rPr>
            </w:pPr>
            <w:bookmarkStart w:id="1" w:name="_Toc226726239"/>
            <w:r w:rsidRPr="00054ECA">
              <w:rPr>
                <w:b w:val="0"/>
                <w:bCs w:val="0"/>
                <w:szCs w:val="28"/>
              </w:rPr>
              <w:t xml:space="preserve">Control and </w:t>
            </w:r>
            <w:r w:rsidR="007E04AA">
              <w:rPr>
                <w:b w:val="0"/>
                <w:bCs w:val="0"/>
                <w:szCs w:val="28"/>
              </w:rPr>
              <w:t>A</w:t>
            </w:r>
            <w:r w:rsidRPr="00054ECA">
              <w:rPr>
                <w:b w:val="0"/>
                <w:bCs w:val="0"/>
                <w:szCs w:val="28"/>
              </w:rPr>
              <w:t>ccountability</w:t>
            </w:r>
            <w:bookmarkEnd w:id="1"/>
          </w:p>
        </w:tc>
        <w:tc>
          <w:tcPr>
            <w:tcW w:w="3553" w:type="pct"/>
            <w:shd w:val="clear" w:color="auto" w:fill="FFFFFF"/>
            <w:tcMar>
              <w:top w:w="75" w:type="dxa"/>
              <w:left w:w="75" w:type="dxa"/>
              <w:bottom w:w="75" w:type="dxa"/>
              <w:right w:w="75" w:type="dxa"/>
            </w:tcMar>
          </w:tcPr>
          <w:p w14:paraId="63730FEA" w14:textId="77777777" w:rsidR="002C39C2" w:rsidRPr="002E0B0F" w:rsidRDefault="002C39C2" w:rsidP="00DF3835">
            <w:pPr>
              <w:spacing w:after="0" w:line="240" w:lineRule="auto"/>
            </w:pPr>
            <w:r w:rsidRPr="002E0B0F">
              <w:t>The contract specifies the relationship between the public body and the service provider as it relates to the services provided and that any collection, use or disclosure of personal information by the service provider on behalf of the public body must only be carried out in accordance with the terms of the contract.</w:t>
            </w:r>
          </w:p>
        </w:tc>
        <w:tc>
          <w:tcPr>
            <w:tcW w:w="264" w:type="pct"/>
            <w:vAlign w:val="center"/>
          </w:tcPr>
          <w:p w14:paraId="50366D6E" w14:textId="77777777" w:rsidR="002C39C2" w:rsidRPr="002E0B0F" w:rsidRDefault="002C39C2" w:rsidP="00CE0777">
            <w:pPr>
              <w:spacing w:after="0" w:line="240" w:lineRule="auto"/>
            </w:pPr>
          </w:p>
        </w:tc>
        <w:tc>
          <w:tcPr>
            <w:tcW w:w="842" w:type="pct"/>
            <w:vAlign w:val="center"/>
          </w:tcPr>
          <w:p w14:paraId="5311049A" w14:textId="77777777" w:rsidR="002C39C2" w:rsidRPr="002E0B0F" w:rsidRDefault="002C39C2" w:rsidP="00CE0777">
            <w:pPr>
              <w:spacing w:after="0" w:line="240" w:lineRule="auto"/>
            </w:pPr>
          </w:p>
        </w:tc>
      </w:tr>
      <w:tr w:rsidR="001A79D8" w:rsidRPr="002E0B0F" w14:paraId="5F985736" w14:textId="77777777" w:rsidTr="00D47BD8">
        <w:trPr>
          <w:cantSplit/>
          <w:jc w:val="center"/>
        </w:trPr>
        <w:tc>
          <w:tcPr>
            <w:tcW w:w="341" w:type="pct"/>
            <w:vMerge/>
            <w:shd w:val="clear" w:color="auto" w:fill="EAE2DD" w:themeFill="background2"/>
          </w:tcPr>
          <w:p w14:paraId="146AC304"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5EC8389C" w14:textId="77777777" w:rsidR="002C39C2" w:rsidRPr="002E0B0F" w:rsidRDefault="002C39C2" w:rsidP="00DF3835">
            <w:pPr>
              <w:spacing w:after="0" w:line="240" w:lineRule="auto"/>
            </w:pPr>
            <w:r w:rsidRPr="002E0B0F">
              <w:t xml:space="preserve">“Personal information” is defined in the contract as defined in POPA. </w:t>
            </w:r>
          </w:p>
        </w:tc>
        <w:tc>
          <w:tcPr>
            <w:tcW w:w="264" w:type="pct"/>
            <w:vAlign w:val="center"/>
          </w:tcPr>
          <w:p w14:paraId="42308F70" w14:textId="77777777" w:rsidR="002C39C2" w:rsidRPr="002E0B0F" w:rsidRDefault="002C39C2" w:rsidP="00CE0777">
            <w:pPr>
              <w:spacing w:after="0" w:line="240" w:lineRule="auto"/>
            </w:pPr>
          </w:p>
        </w:tc>
        <w:tc>
          <w:tcPr>
            <w:tcW w:w="842" w:type="pct"/>
            <w:vAlign w:val="center"/>
          </w:tcPr>
          <w:p w14:paraId="5BFBA290" w14:textId="77777777" w:rsidR="002C39C2" w:rsidRPr="002E0B0F" w:rsidRDefault="002C39C2" w:rsidP="00CE0777">
            <w:pPr>
              <w:spacing w:after="0" w:line="240" w:lineRule="auto"/>
            </w:pPr>
          </w:p>
        </w:tc>
      </w:tr>
      <w:tr w:rsidR="001A79D8" w:rsidRPr="002E0B0F" w14:paraId="58AFA0F5" w14:textId="77777777" w:rsidTr="00D47BD8">
        <w:trPr>
          <w:cantSplit/>
          <w:jc w:val="center"/>
        </w:trPr>
        <w:tc>
          <w:tcPr>
            <w:tcW w:w="341" w:type="pct"/>
            <w:vMerge/>
            <w:shd w:val="clear" w:color="auto" w:fill="EAE2DD" w:themeFill="background2"/>
          </w:tcPr>
          <w:p w14:paraId="725697D8"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7F0C2284" w14:textId="77777777" w:rsidR="002C39C2" w:rsidRPr="002E0B0F" w:rsidRDefault="002C39C2" w:rsidP="00DF3835">
            <w:pPr>
              <w:spacing w:after="0" w:line="240" w:lineRule="auto"/>
            </w:pPr>
            <w:r w:rsidRPr="002E0B0F">
              <w:t>The contract specifies that any personal information that is collected, or otherwise generated or used, and that is in the custody of the service provider for the purpose of providing the services to the public body, is in the control of the public body and that POPA and ATIA apply to this information.</w:t>
            </w:r>
          </w:p>
        </w:tc>
        <w:tc>
          <w:tcPr>
            <w:tcW w:w="264" w:type="pct"/>
            <w:vAlign w:val="center"/>
          </w:tcPr>
          <w:p w14:paraId="0F951545" w14:textId="77777777" w:rsidR="002C39C2" w:rsidRPr="002E0B0F" w:rsidRDefault="002C39C2" w:rsidP="00CE0777">
            <w:pPr>
              <w:spacing w:after="0" w:line="240" w:lineRule="auto"/>
            </w:pPr>
          </w:p>
        </w:tc>
        <w:tc>
          <w:tcPr>
            <w:tcW w:w="842" w:type="pct"/>
            <w:vAlign w:val="center"/>
          </w:tcPr>
          <w:p w14:paraId="655DC085" w14:textId="77777777" w:rsidR="002C39C2" w:rsidRPr="002E0B0F" w:rsidRDefault="002C39C2" w:rsidP="00CE0777">
            <w:pPr>
              <w:spacing w:after="0" w:line="240" w:lineRule="auto"/>
            </w:pPr>
          </w:p>
        </w:tc>
      </w:tr>
      <w:tr w:rsidR="001A79D8" w:rsidRPr="002E0B0F" w14:paraId="2F42FB12" w14:textId="77777777" w:rsidTr="00D47BD8">
        <w:trPr>
          <w:cantSplit/>
          <w:jc w:val="center"/>
        </w:trPr>
        <w:tc>
          <w:tcPr>
            <w:tcW w:w="341" w:type="pct"/>
            <w:vMerge/>
            <w:shd w:val="clear" w:color="auto" w:fill="EAE2DD" w:themeFill="background2"/>
          </w:tcPr>
          <w:p w14:paraId="64BEAD65"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020EE618" w14:textId="77777777" w:rsidR="002C39C2" w:rsidRPr="002E0B0F" w:rsidRDefault="002C39C2" w:rsidP="00DF3835">
            <w:pPr>
              <w:spacing w:after="0" w:line="240" w:lineRule="auto"/>
            </w:pPr>
            <w:r w:rsidRPr="002E0B0F">
              <w:t xml:space="preserve">The contract specifies that as a service provider to the public body, as it relates to the personal information in the custody of the service provider to provide the services, the service provider is bound to comply with POPA and ATIA as an “employee” of the public body.  </w:t>
            </w:r>
          </w:p>
        </w:tc>
        <w:tc>
          <w:tcPr>
            <w:tcW w:w="264" w:type="pct"/>
            <w:vAlign w:val="center"/>
          </w:tcPr>
          <w:p w14:paraId="109DD780" w14:textId="77777777" w:rsidR="002C39C2" w:rsidRPr="002E0B0F" w:rsidRDefault="002C39C2" w:rsidP="00CE0777">
            <w:pPr>
              <w:spacing w:after="0" w:line="240" w:lineRule="auto"/>
            </w:pPr>
          </w:p>
        </w:tc>
        <w:tc>
          <w:tcPr>
            <w:tcW w:w="842" w:type="pct"/>
            <w:vAlign w:val="center"/>
          </w:tcPr>
          <w:p w14:paraId="1261067F" w14:textId="77777777" w:rsidR="002C39C2" w:rsidRPr="002E0B0F" w:rsidRDefault="002C39C2" w:rsidP="00CE0777">
            <w:pPr>
              <w:spacing w:after="0" w:line="240" w:lineRule="auto"/>
            </w:pPr>
          </w:p>
        </w:tc>
      </w:tr>
      <w:tr w:rsidR="001A79D8" w:rsidRPr="002E0B0F" w14:paraId="4CA66C8D" w14:textId="77777777" w:rsidTr="00D47BD8">
        <w:trPr>
          <w:cantSplit/>
          <w:jc w:val="center"/>
        </w:trPr>
        <w:tc>
          <w:tcPr>
            <w:tcW w:w="341" w:type="pct"/>
            <w:vMerge/>
            <w:shd w:val="clear" w:color="auto" w:fill="EAE2DD" w:themeFill="background2"/>
          </w:tcPr>
          <w:p w14:paraId="37A6BF93"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131042AC" w14:textId="77777777" w:rsidR="002C39C2" w:rsidRPr="002E0B0F" w:rsidRDefault="002C39C2" w:rsidP="00DF3835">
            <w:pPr>
              <w:spacing w:after="0" w:line="240" w:lineRule="auto"/>
            </w:pPr>
            <w:r w:rsidRPr="002E0B0F">
              <w:t>The contract specifies the types of records containing personal information (list them) that the service provider has access to or that it will create as part of performing the services for the public body.</w:t>
            </w:r>
          </w:p>
        </w:tc>
        <w:tc>
          <w:tcPr>
            <w:tcW w:w="264" w:type="pct"/>
            <w:vAlign w:val="center"/>
          </w:tcPr>
          <w:p w14:paraId="71DA72E9" w14:textId="77777777" w:rsidR="002C39C2" w:rsidRPr="002E0B0F" w:rsidRDefault="002C39C2" w:rsidP="00CE0777">
            <w:pPr>
              <w:spacing w:after="0" w:line="240" w:lineRule="auto"/>
            </w:pPr>
          </w:p>
        </w:tc>
        <w:tc>
          <w:tcPr>
            <w:tcW w:w="842" w:type="pct"/>
            <w:vAlign w:val="center"/>
          </w:tcPr>
          <w:p w14:paraId="647737D9" w14:textId="77777777" w:rsidR="002C39C2" w:rsidRPr="002E0B0F" w:rsidRDefault="002C39C2" w:rsidP="00CE0777">
            <w:pPr>
              <w:spacing w:after="0" w:line="240" w:lineRule="auto"/>
            </w:pPr>
          </w:p>
        </w:tc>
      </w:tr>
      <w:tr w:rsidR="001A79D8" w:rsidRPr="002E0B0F" w14:paraId="60C925A9" w14:textId="77777777" w:rsidTr="00D47BD8">
        <w:trPr>
          <w:cantSplit/>
          <w:jc w:val="center"/>
        </w:trPr>
        <w:tc>
          <w:tcPr>
            <w:tcW w:w="341" w:type="pct"/>
            <w:vMerge/>
            <w:shd w:val="clear" w:color="auto" w:fill="EAE2DD" w:themeFill="background2"/>
          </w:tcPr>
          <w:p w14:paraId="279F4C91"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25492D5F" w14:textId="75C303AB" w:rsidR="002C39C2" w:rsidRPr="002E0B0F" w:rsidRDefault="002C39C2" w:rsidP="00DF3835">
            <w:pPr>
              <w:spacing w:after="0" w:line="240" w:lineRule="auto"/>
            </w:pPr>
            <w:r w:rsidRPr="002E0B0F">
              <w:t>The contract requires the service provider to enter into confidentiality agreements with any of its employees who will have access to personal information to perform the services for the public body, which agreement must align with the service provider’s duties under the contract as it relates to its handing of the personal information.</w:t>
            </w:r>
          </w:p>
        </w:tc>
        <w:tc>
          <w:tcPr>
            <w:tcW w:w="264" w:type="pct"/>
            <w:vAlign w:val="center"/>
          </w:tcPr>
          <w:p w14:paraId="035E4F10" w14:textId="77777777" w:rsidR="002C39C2" w:rsidRPr="002E0B0F" w:rsidRDefault="002C39C2" w:rsidP="00CE0777">
            <w:pPr>
              <w:spacing w:after="0" w:line="240" w:lineRule="auto"/>
            </w:pPr>
          </w:p>
        </w:tc>
        <w:tc>
          <w:tcPr>
            <w:tcW w:w="842" w:type="pct"/>
            <w:vAlign w:val="center"/>
          </w:tcPr>
          <w:p w14:paraId="540BB91B" w14:textId="54368829" w:rsidR="002C39C2" w:rsidRPr="002C39C2" w:rsidRDefault="002C39C2" w:rsidP="00CE0777">
            <w:pPr>
              <w:tabs>
                <w:tab w:val="left" w:pos="1537"/>
              </w:tabs>
            </w:pPr>
          </w:p>
        </w:tc>
      </w:tr>
      <w:tr w:rsidR="001A79D8" w:rsidRPr="002E0B0F" w14:paraId="7CA7F414" w14:textId="77777777" w:rsidTr="00D47BD8">
        <w:trPr>
          <w:cantSplit/>
          <w:jc w:val="center"/>
        </w:trPr>
        <w:tc>
          <w:tcPr>
            <w:tcW w:w="341" w:type="pct"/>
            <w:vMerge/>
            <w:shd w:val="clear" w:color="auto" w:fill="EAE2DD" w:themeFill="background2"/>
          </w:tcPr>
          <w:p w14:paraId="1FB6B0F8"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05AD3A79" w14:textId="77777777" w:rsidR="001A79D8" w:rsidRPr="002E0B0F" w:rsidRDefault="001A79D8" w:rsidP="001A79D8">
            <w:pPr>
              <w:spacing w:after="0" w:line="240" w:lineRule="auto"/>
            </w:pPr>
            <w:r w:rsidRPr="002E0B0F">
              <w:t xml:space="preserve">The contract restricts the use of subcontractors to perform any of the services without express written consent of the public body. </w:t>
            </w:r>
          </w:p>
          <w:p w14:paraId="3EAFD523" w14:textId="4FC23966" w:rsidR="001A79D8" w:rsidRPr="001A79D8" w:rsidRDefault="001A79D8" w:rsidP="001A79D8">
            <w:pPr>
              <w:spacing w:after="0" w:line="240" w:lineRule="auto"/>
            </w:pPr>
            <w:r w:rsidRPr="002E0B0F">
              <w:t>If said consent is given, the contract requires the contractor to bind, through its contract with any subcontractor, the subcontractor to the terms of the contract between the service provider and public body as it relates to its duties concerning the personal information therein.</w:t>
            </w:r>
          </w:p>
        </w:tc>
        <w:tc>
          <w:tcPr>
            <w:tcW w:w="264" w:type="pct"/>
            <w:vAlign w:val="center"/>
          </w:tcPr>
          <w:p w14:paraId="7A907EA5" w14:textId="77777777" w:rsidR="002C39C2" w:rsidRPr="002E0B0F" w:rsidRDefault="002C39C2" w:rsidP="00CE0777">
            <w:pPr>
              <w:spacing w:after="0" w:line="240" w:lineRule="auto"/>
            </w:pPr>
          </w:p>
        </w:tc>
        <w:tc>
          <w:tcPr>
            <w:tcW w:w="842" w:type="pct"/>
            <w:vAlign w:val="center"/>
          </w:tcPr>
          <w:p w14:paraId="14578577" w14:textId="77777777" w:rsidR="002C39C2" w:rsidRPr="002E0B0F" w:rsidRDefault="002C39C2" w:rsidP="00CE0777">
            <w:pPr>
              <w:spacing w:after="0" w:line="240" w:lineRule="auto"/>
            </w:pPr>
          </w:p>
        </w:tc>
      </w:tr>
      <w:tr w:rsidR="001A79D8" w:rsidRPr="002E0B0F" w14:paraId="59ED4007" w14:textId="77777777" w:rsidTr="00D47BD8">
        <w:trPr>
          <w:cantSplit/>
          <w:jc w:val="center"/>
        </w:trPr>
        <w:tc>
          <w:tcPr>
            <w:tcW w:w="341" w:type="pct"/>
            <w:vMerge/>
            <w:shd w:val="clear" w:color="auto" w:fill="EAE2DD" w:themeFill="background2"/>
          </w:tcPr>
          <w:p w14:paraId="524B98E7"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5CACEB40" w14:textId="41D122EF" w:rsidR="002C39C2" w:rsidRPr="002E0B0F" w:rsidRDefault="001A79D8" w:rsidP="00DF3835">
            <w:pPr>
              <w:spacing w:after="0" w:line="240" w:lineRule="auto"/>
            </w:pPr>
            <w:r w:rsidRPr="002E0B0F">
              <w:t xml:space="preserve">The contract requires the service provider to comply with the terms of the agreement and as an employee of the public body to ATIA and POPA.  </w:t>
            </w:r>
          </w:p>
        </w:tc>
        <w:tc>
          <w:tcPr>
            <w:tcW w:w="264" w:type="pct"/>
            <w:vAlign w:val="center"/>
          </w:tcPr>
          <w:p w14:paraId="70C9D422" w14:textId="77777777" w:rsidR="002C39C2" w:rsidRPr="002E0B0F" w:rsidRDefault="002C39C2" w:rsidP="00CE0777">
            <w:pPr>
              <w:spacing w:after="0" w:line="240" w:lineRule="auto"/>
            </w:pPr>
          </w:p>
        </w:tc>
        <w:tc>
          <w:tcPr>
            <w:tcW w:w="842" w:type="pct"/>
            <w:vAlign w:val="center"/>
          </w:tcPr>
          <w:p w14:paraId="09DC0D0C" w14:textId="77777777" w:rsidR="002C39C2" w:rsidRPr="002E0B0F" w:rsidRDefault="002C39C2" w:rsidP="00CE0777">
            <w:pPr>
              <w:spacing w:after="0" w:line="240" w:lineRule="auto"/>
            </w:pPr>
          </w:p>
        </w:tc>
      </w:tr>
      <w:tr w:rsidR="001A79D8" w:rsidRPr="002E0B0F" w14:paraId="5FCA3C07" w14:textId="77777777" w:rsidTr="00D47BD8">
        <w:trPr>
          <w:cantSplit/>
          <w:trHeight w:val="1002"/>
          <w:jc w:val="center"/>
        </w:trPr>
        <w:tc>
          <w:tcPr>
            <w:tcW w:w="341" w:type="pct"/>
            <w:vMerge w:val="restart"/>
            <w:shd w:val="clear" w:color="auto" w:fill="EAE2DD" w:themeFill="background2"/>
            <w:textDirection w:val="btLr"/>
            <w:vAlign w:val="center"/>
          </w:tcPr>
          <w:p w14:paraId="7DBE2EFF" w14:textId="2AB81558" w:rsidR="002C39C2" w:rsidRPr="00054ECA" w:rsidRDefault="002C39C2" w:rsidP="00DF3835">
            <w:pPr>
              <w:spacing w:after="0" w:line="240" w:lineRule="auto"/>
              <w:jc w:val="center"/>
            </w:pPr>
            <w:r w:rsidRPr="006D77B1">
              <w:rPr>
                <w:sz w:val="24"/>
                <w:szCs w:val="28"/>
              </w:rPr>
              <w:lastRenderedPageBreak/>
              <w:t xml:space="preserve">Control and </w:t>
            </w:r>
            <w:r w:rsidR="007E04AA">
              <w:rPr>
                <w:sz w:val="24"/>
                <w:szCs w:val="28"/>
              </w:rPr>
              <w:t>A</w:t>
            </w:r>
            <w:r w:rsidRPr="006D77B1">
              <w:rPr>
                <w:sz w:val="24"/>
                <w:szCs w:val="28"/>
              </w:rPr>
              <w:t>ccountability</w:t>
            </w:r>
          </w:p>
        </w:tc>
        <w:tc>
          <w:tcPr>
            <w:tcW w:w="3553" w:type="pct"/>
            <w:shd w:val="clear" w:color="auto" w:fill="FFFFFF"/>
            <w:tcMar>
              <w:top w:w="75" w:type="dxa"/>
              <w:left w:w="75" w:type="dxa"/>
              <w:bottom w:w="75" w:type="dxa"/>
              <w:right w:w="75" w:type="dxa"/>
            </w:tcMar>
          </w:tcPr>
          <w:p w14:paraId="041DE068" w14:textId="77777777" w:rsidR="002C39C2" w:rsidRPr="002E0B0F" w:rsidRDefault="002C39C2" w:rsidP="00DF3835">
            <w:pPr>
              <w:spacing w:after="0" w:line="240" w:lineRule="auto"/>
            </w:pPr>
            <w:r w:rsidRPr="002E0B0F">
              <w:t>The contract specifies that the service provider is fully and solely responsible for the actions of its employees, subcontractors, and agents who act on its behalf in the performance of its functions under the contract. If applicable, the contract restricts a service provider’s ability to subcontract.</w:t>
            </w:r>
          </w:p>
        </w:tc>
        <w:tc>
          <w:tcPr>
            <w:tcW w:w="264" w:type="pct"/>
            <w:vAlign w:val="center"/>
          </w:tcPr>
          <w:p w14:paraId="09369B53" w14:textId="77777777" w:rsidR="002C39C2" w:rsidRPr="002E0B0F" w:rsidRDefault="002C39C2" w:rsidP="00CE0777">
            <w:pPr>
              <w:spacing w:after="0" w:line="240" w:lineRule="auto"/>
            </w:pPr>
          </w:p>
        </w:tc>
        <w:tc>
          <w:tcPr>
            <w:tcW w:w="842" w:type="pct"/>
            <w:vAlign w:val="center"/>
          </w:tcPr>
          <w:p w14:paraId="0EF172B5" w14:textId="77777777" w:rsidR="002C39C2" w:rsidRPr="002E0B0F" w:rsidRDefault="002C39C2" w:rsidP="00CE0777">
            <w:pPr>
              <w:spacing w:after="0" w:line="240" w:lineRule="auto"/>
            </w:pPr>
          </w:p>
        </w:tc>
      </w:tr>
      <w:tr w:rsidR="001A79D8" w:rsidRPr="002E0B0F" w14:paraId="118A3404" w14:textId="77777777" w:rsidTr="00D47BD8">
        <w:trPr>
          <w:cantSplit/>
          <w:trHeight w:val="1613"/>
          <w:jc w:val="center"/>
        </w:trPr>
        <w:tc>
          <w:tcPr>
            <w:tcW w:w="341" w:type="pct"/>
            <w:vMerge/>
            <w:shd w:val="clear" w:color="auto" w:fill="EAE2DD" w:themeFill="background2"/>
          </w:tcPr>
          <w:p w14:paraId="6C6DD42C"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hideMark/>
          </w:tcPr>
          <w:p w14:paraId="4C7190F2" w14:textId="6CCD06B5" w:rsidR="002C39C2" w:rsidRPr="002E0B0F" w:rsidRDefault="002C39C2" w:rsidP="00DF3835">
            <w:pPr>
              <w:spacing w:after="0" w:line="240" w:lineRule="auto"/>
            </w:pPr>
            <w:r w:rsidRPr="002E0B0F">
              <w:t>The service provider has designated in the cont</w:t>
            </w:r>
            <w:r w:rsidR="007E04AA">
              <w:t>r</w:t>
            </w:r>
            <w:r w:rsidRPr="002E0B0F">
              <w:t>act a senior individual within its organization to be the point of contact for complying with privacy and security obligations set out in the contract, and the contract specifies that any privacy and security issues that arise under the contract or for ascertaining compliance with the privacy provisions therein, the public body’s Privacy Officer will be involved.</w:t>
            </w:r>
          </w:p>
        </w:tc>
        <w:tc>
          <w:tcPr>
            <w:tcW w:w="264" w:type="pct"/>
            <w:vAlign w:val="center"/>
          </w:tcPr>
          <w:p w14:paraId="3BD28295" w14:textId="77777777" w:rsidR="002C39C2" w:rsidRPr="002E0B0F" w:rsidRDefault="002C39C2" w:rsidP="00CE0777">
            <w:pPr>
              <w:spacing w:after="0" w:line="240" w:lineRule="auto"/>
            </w:pPr>
          </w:p>
        </w:tc>
        <w:tc>
          <w:tcPr>
            <w:tcW w:w="842" w:type="pct"/>
            <w:vAlign w:val="center"/>
          </w:tcPr>
          <w:p w14:paraId="15E872D6" w14:textId="77777777" w:rsidR="002C39C2" w:rsidRPr="002E0B0F" w:rsidRDefault="002C39C2" w:rsidP="00CE0777">
            <w:pPr>
              <w:spacing w:after="0" w:line="240" w:lineRule="auto"/>
            </w:pPr>
          </w:p>
        </w:tc>
      </w:tr>
      <w:tr w:rsidR="001A79D8" w:rsidRPr="002E0B0F" w14:paraId="6CDDEFC0" w14:textId="77777777" w:rsidTr="00D47BD8">
        <w:trPr>
          <w:cantSplit/>
          <w:trHeight w:val="707"/>
          <w:jc w:val="center"/>
        </w:trPr>
        <w:tc>
          <w:tcPr>
            <w:tcW w:w="341" w:type="pct"/>
            <w:vMerge/>
            <w:shd w:val="clear" w:color="auto" w:fill="EAE2DD" w:themeFill="background2"/>
          </w:tcPr>
          <w:p w14:paraId="7DFA40BC"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049270D9" w14:textId="77777777" w:rsidR="002C39C2" w:rsidRPr="002E0B0F" w:rsidRDefault="002C39C2" w:rsidP="00DF3835">
            <w:pPr>
              <w:spacing w:after="0" w:line="240" w:lineRule="auto"/>
            </w:pPr>
            <w:r w:rsidRPr="00A75C41">
              <w:t>The contract clarif</w:t>
            </w:r>
            <w:r>
              <w:t>ies</w:t>
            </w:r>
            <w:r w:rsidRPr="00A75C41">
              <w:t xml:space="preserve"> how the service provider would notify the public body of any requests it receives to produce personal information it has in its custody</w:t>
            </w:r>
            <w:r>
              <w:t xml:space="preserve"> to </w:t>
            </w:r>
            <w:r w:rsidRPr="00A75C41">
              <w:t>a government or law enforcement agency</w:t>
            </w:r>
            <w:r>
              <w:t xml:space="preserve"> outside of Alberta</w:t>
            </w:r>
            <w:r w:rsidRPr="00A75C41">
              <w:t>.</w:t>
            </w:r>
          </w:p>
        </w:tc>
        <w:tc>
          <w:tcPr>
            <w:tcW w:w="264" w:type="pct"/>
            <w:vAlign w:val="center"/>
          </w:tcPr>
          <w:p w14:paraId="00FFF4C0" w14:textId="77777777" w:rsidR="002C39C2" w:rsidRPr="002E0B0F" w:rsidRDefault="002C39C2" w:rsidP="00CE0777">
            <w:pPr>
              <w:spacing w:after="0" w:line="240" w:lineRule="auto"/>
            </w:pPr>
          </w:p>
        </w:tc>
        <w:tc>
          <w:tcPr>
            <w:tcW w:w="842" w:type="pct"/>
            <w:vAlign w:val="center"/>
          </w:tcPr>
          <w:p w14:paraId="765D1AE6" w14:textId="77777777" w:rsidR="002C39C2" w:rsidRPr="002E0B0F" w:rsidRDefault="002C39C2" w:rsidP="00CE0777">
            <w:pPr>
              <w:spacing w:after="0" w:line="240" w:lineRule="auto"/>
            </w:pPr>
          </w:p>
        </w:tc>
      </w:tr>
      <w:tr w:rsidR="001A79D8" w:rsidRPr="002E0B0F" w14:paraId="68F77484" w14:textId="77777777" w:rsidTr="00D47BD8">
        <w:trPr>
          <w:cantSplit/>
          <w:trHeight w:val="1161"/>
          <w:jc w:val="center"/>
        </w:trPr>
        <w:tc>
          <w:tcPr>
            <w:tcW w:w="341" w:type="pct"/>
            <w:vMerge/>
            <w:shd w:val="clear" w:color="auto" w:fill="EAE2DD" w:themeFill="background2"/>
          </w:tcPr>
          <w:p w14:paraId="19438A6B"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hideMark/>
          </w:tcPr>
          <w:p w14:paraId="4F21F37A" w14:textId="77777777" w:rsidR="002C39C2" w:rsidRPr="002E0B0F" w:rsidRDefault="002C39C2" w:rsidP="00DF3835">
            <w:pPr>
              <w:spacing w:after="0" w:line="240" w:lineRule="auto"/>
            </w:pPr>
            <w:r w:rsidRPr="002E0B0F">
              <w:t>The contract requires the service provider to provide the public body, upon request, with an up-to date list of all employees, subcontractors, or agents who have access to the personal information for the purposes of providing the services.</w:t>
            </w:r>
          </w:p>
        </w:tc>
        <w:tc>
          <w:tcPr>
            <w:tcW w:w="264" w:type="pct"/>
            <w:vAlign w:val="center"/>
          </w:tcPr>
          <w:p w14:paraId="64866988" w14:textId="77777777" w:rsidR="002C39C2" w:rsidRPr="002E0B0F" w:rsidRDefault="002C39C2" w:rsidP="00CE0777">
            <w:pPr>
              <w:spacing w:after="0" w:line="240" w:lineRule="auto"/>
            </w:pPr>
          </w:p>
        </w:tc>
        <w:tc>
          <w:tcPr>
            <w:tcW w:w="842" w:type="pct"/>
            <w:vAlign w:val="center"/>
          </w:tcPr>
          <w:p w14:paraId="138B7AEC" w14:textId="77777777" w:rsidR="002C39C2" w:rsidRPr="002E0B0F" w:rsidRDefault="002C39C2" w:rsidP="00CE0777">
            <w:pPr>
              <w:spacing w:after="0" w:line="240" w:lineRule="auto"/>
            </w:pPr>
          </w:p>
        </w:tc>
      </w:tr>
      <w:tr w:rsidR="001A79D8" w:rsidRPr="002E0B0F" w14:paraId="303BB555" w14:textId="77777777" w:rsidTr="00D47BD8">
        <w:trPr>
          <w:cantSplit/>
          <w:trHeight w:val="1238"/>
          <w:jc w:val="center"/>
        </w:trPr>
        <w:tc>
          <w:tcPr>
            <w:tcW w:w="341" w:type="pct"/>
            <w:vMerge/>
            <w:shd w:val="clear" w:color="auto" w:fill="EAE2DD" w:themeFill="background2"/>
          </w:tcPr>
          <w:p w14:paraId="783DE269"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hideMark/>
          </w:tcPr>
          <w:p w14:paraId="7923DD03" w14:textId="77777777" w:rsidR="002C39C2" w:rsidRPr="002E0B0F" w:rsidRDefault="002C39C2" w:rsidP="00DF3835">
            <w:pPr>
              <w:spacing w:after="0" w:line="240" w:lineRule="auto"/>
            </w:pPr>
            <w:r w:rsidRPr="002E0B0F">
              <w:t>The contract specifies that any failure of the service provider, or of its employees or subcontractors, to follow the terms relating to the collection, use, disclosure, security or management of the personal information as set out in the contract is considered a breach of the contract.</w:t>
            </w:r>
          </w:p>
        </w:tc>
        <w:tc>
          <w:tcPr>
            <w:tcW w:w="264" w:type="pct"/>
            <w:vAlign w:val="center"/>
          </w:tcPr>
          <w:p w14:paraId="6FE2BA7E" w14:textId="77777777" w:rsidR="002C39C2" w:rsidRPr="002E0B0F" w:rsidRDefault="002C39C2" w:rsidP="00CE0777">
            <w:pPr>
              <w:spacing w:after="0" w:line="240" w:lineRule="auto"/>
            </w:pPr>
          </w:p>
        </w:tc>
        <w:tc>
          <w:tcPr>
            <w:tcW w:w="842" w:type="pct"/>
            <w:vAlign w:val="center"/>
          </w:tcPr>
          <w:p w14:paraId="68195E18" w14:textId="77777777" w:rsidR="002C39C2" w:rsidRPr="002E0B0F" w:rsidRDefault="002C39C2" w:rsidP="00CE0777">
            <w:pPr>
              <w:spacing w:after="0" w:line="240" w:lineRule="auto"/>
            </w:pPr>
          </w:p>
        </w:tc>
      </w:tr>
      <w:tr w:rsidR="001A79D8" w:rsidRPr="002E0B0F" w14:paraId="506DFB5B" w14:textId="77777777" w:rsidTr="00D47BD8">
        <w:trPr>
          <w:cantSplit/>
          <w:trHeight w:val="975"/>
          <w:jc w:val="center"/>
        </w:trPr>
        <w:tc>
          <w:tcPr>
            <w:tcW w:w="341" w:type="pct"/>
            <w:vMerge/>
            <w:shd w:val="clear" w:color="auto" w:fill="EAE2DD" w:themeFill="background2"/>
          </w:tcPr>
          <w:p w14:paraId="7DA845F5"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hideMark/>
          </w:tcPr>
          <w:p w14:paraId="3B90BE2B" w14:textId="77777777" w:rsidR="002C39C2" w:rsidRPr="002E0B0F" w:rsidRDefault="002C39C2" w:rsidP="00DF3835">
            <w:pPr>
              <w:spacing w:after="0" w:line="240" w:lineRule="auto"/>
            </w:pPr>
            <w:r w:rsidRPr="002E0B0F">
              <w:t>The contract requires the service provider to advise the public body in advance in the event of any change in ownership of all or a part of the contractor's business.</w:t>
            </w:r>
          </w:p>
        </w:tc>
        <w:tc>
          <w:tcPr>
            <w:tcW w:w="264" w:type="pct"/>
            <w:vAlign w:val="center"/>
          </w:tcPr>
          <w:p w14:paraId="3ADC3C55" w14:textId="77777777" w:rsidR="002C39C2" w:rsidRPr="002E0B0F" w:rsidRDefault="002C39C2" w:rsidP="00CE0777">
            <w:pPr>
              <w:spacing w:after="0" w:line="240" w:lineRule="auto"/>
            </w:pPr>
          </w:p>
        </w:tc>
        <w:tc>
          <w:tcPr>
            <w:tcW w:w="842" w:type="pct"/>
            <w:vAlign w:val="center"/>
          </w:tcPr>
          <w:p w14:paraId="2E035203" w14:textId="77777777" w:rsidR="002C39C2" w:rsidRPr="002E0B0F" w:rsidRDefault="002C39C2" w:rsidP="00CE0777">
            <w:pPr>
              <w:spacing w:after="0" w:line="240" w:lineRule="auto"/>
            </w:pPr>
          </w:p>
        </w:tc>
      </w:tr>
      <w:tr w:rsidR="001A79D8" w:rsidRPr="002E0B0F" w14:paraId="1CE1C9C6" w14:textId="77777777" w:rsidTr="00D47BD8">
        <w:trPr>
          <w:cantSplit/>
          <w:trHeight w:val="1247"/>
          <w:jc w:val="center"/>
        </w:trPr>
        <w:tc>
          <w:tcPr>
            <w:tcW w:w="341" w:type="pct"/>
            <w:vMerge/>
            <w:shd w:val="clear" w:color="auto" w:fill="EAE2DD" w:themeFill="background2"/>
          </w:tcPr>
          <w:p w14:paraId="2650A9BA"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hideMark/>
          </w:tcPr>
          <w:p w14:paraId="7F8C0BF9" w14:textId="77777777" w:rsidR="002C39C2" w:rsidRPr="002E0B0F" w:rsidRDefault="002C39C2" w:rsidP="00DF3835">
            <w:pPr>
              <w:spacing w:after="0" w:line="240" w:lineRule="auto"/>
            </w:pPr>
            <w:r w:rsidRPr="002E0B0F">
              <w:t>The contract requires the service provider to immediately notify the public body in the event of any proceedings for bankruptcy or insolvency brought by or against the contractor under applicable bankruptcy or insolvency laws or any notice of creditor's remedies.</w:t>
            </w:r>
          </w:p>
        </w:tc>
        <w:tc>
          <w:tcPr>
            <w:tcW w:w="264" w:type="pct"/>
            <w:vAlign w:val="center"/>
          </w:tcPr>
          <w:p w14:paraId="3AB453A2" w14:textId="77777777" w:rsidR="002C39C2" w:rsidRPr="002E0B0F" w:rsidRDefault="002C39C2" w:rsidP="00CE0777">
            <w:pPr>
              <w:spacing w:after="0" w:line="240" w:lineRule="auto"/>
            </w:pPr>
          </w:p>
        </w:tc>
        <w:tc>
          <w:tcPr>
            <w:tcW w:w="842" w:type="pct"/>
            <w:vAlign w:val="center"/>
          </w:tcPr>
          <w:p w14:paraId="32F93137" w14:textId="77777777" w:rsidR="002C39C2" w:rsidRPr="002E0B0F" w:rsidRDefault="002C39C2" w:rsidP="00CE0777">
            <w:pPr>
              <w:spacing w:after="0" w:line="240" w:lineRule="auto"/>
            </w:pPr>
          </w:p>
        </w:tc>
      </w:tr>
      <w:tr w:rsidR="001A79D8" w:rsidRPr="002E0B0F" w14:paraId="30A40912" w14:textId="77777777" w:rsidTr="00D47BD8">
        <w:trPr>
          <w:cantSplit/>
          <w:trHeight w:val="2244"/>
          <w:jc w:val="center"/>
        </w:trPr>
        <w:tc>
          <w:tcPr>
            <w:tcW w:w="341" w:type="pct"/>
            <w:vMerge/>
            <w:shd w:val="clear" w:color="auto" w:fill="EAE2DD" w:themeFill="background2"/>
          </w:tcPr>
          <w:p w14:paraId="1D066CA6"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1A82ED3B" w14:textId="77777777" w:rsidR="002C39C2" w:rsidRPr="002E0B0F" w:rsidRDefault="002C39C2" w:rsidP="00DF3835">
            <w:pPr>
              <w:spacing w:after="0" w:line="240" w:lineRule="auto"/>
            </w:pPr>
            <w:r w:rsidRPr="002E0B0F">
              <w:rPr>
                <w:b/>
                <w:bCs/>
              </w:rPr>
              <w:t>Audit and inspection of records or personal information</w:t>
            </w:r>
          </w:p>
          <w:p w14:paraId="2BD3AA81" w14:textId="77777777" w:rsidR="002C39C2" w:rsidRPr="002E0B0F" w:rsidRDefault="002C39C2" w:rsidP="00DF3835">
            <w:pPr>
              <w:spacing w:after="0" w:line="240" w:lineRule="auto"/>
            </w:pPr>
            <w:r w:rsidRPr="002E0B0F">
              <w:t>The contract specifies when and how the public body will ensure oversight of the requirements in the contract, including that it may require compliance reports from the service provider as specified therein, and may enter the service provider’s premises to inspect, audit, or require a third party to audit the service provider’s compliance with the privacy, security, and information management requirements under the contract and that the service provider must co-operate with any such audit or inspection.</w:t>
            </w:r>
          </w:p>
        </w:tc>
        <w:tc>
          <w:tcPr>
            <w:tcW w:w="264" w:type="pct"/>
            <w:vAlign w:val="center"/>
          </w:tcPr>
          <w:p w14:paraId="7240E7EF" w14:textId="77777777" w:rsidR="002C39C2" w:rsidRPr="002E0B0F" w:rsidRDefault="002C39C2" w:rsidP="00CE0777">
            <w:pPr>
              <w:spacing w:after="0" w:line="240" w:lineRule="auto"/>
            </w:pPr>
          </w:p>
        </w:tc>
        <w:tc>
          <w:tcPr>
            <w:tcW w:w="842" w:type="pct"/>
            <w:vAlign w:val="center"/>
          </w:tcPr>
          <w:p w14:paraId="3F0EAA32" w14:textId="77777777" w:rsidR="002C39C2" w:rsidRPr="002E0B0F" w:rsidRDefault="002C39C2" w:rsidP="00CE0777">
            <w:pPr>
              <w:spacing w:after="0" w:line="240" w:lineRule="auto"/>
            </w:pPr>
          </w:p>
        </w:tc>
      </w:tr>
      <w:tr w:rsidR="001A79D8" w:rsidRPr="002E0B0F" w14:paraId="6BC7B313" w14:textId="77777777" w:rsidTr="00D47BD8">
        <w:trPr>
          <w:cantSplit/>
          <w:jc w:val="center"/>
        </w:trPr>
        <w:tc>
          <w:tcPr>
            <w:tcW w:w="341" w:type="pct"/>
            <w:vMerge/>
            <w:shd w:val="clear" w:color="auto" w:fill="EAE2DD" w:themeFill="background2"/>
          </w:tcPr>
          <w:p w14:paraId="1FFCC744"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3F75395F" w14:textId="77777777" w:rsidR="002C39C2" w:rsidRPr="002E0B0F" w:rsidRDefault="002C39C2" w:rsidP="00DF3835">
            <w:pPr>
              <w:spacing w:after="0" w:line="240" w:lineRule="auto"/>
            </w:pPr>
            <w:r w:rsidRPr="002E0B0F">
              <w:t>The contract requires the service provider to maintain specific information to enable the conduct of inspections and audits, i.e. the maintenance of some form of audit trail (electronic or paper form) for as long as the public body determines as necessary, and for compliance reporting purposes.</w:t>
            </w:r>
          </w:p>
        </w:tc>
        <w:tc>
          <w:tcPr>
            <w:tcW w:w="264" w:type="pct"/>
            <w:vAlign w:val="center"/>
          </w:tcPr>
          <w:p w14:paraId="0F26B7CC" w14:textId="77777777" w:rsidR="002C39C2" w:rsidRPr="002E0B0F" w:rsidRDefault="002C39C2" w:rsidP="00CE0777">
            <w:pPr>
              <w:spacing w:after="0" w:line="240" w:lineRule="auto"/>
            </w:pPr>
          </w:p>
        </w:tc>
        <w:tc>
          <w:tcPr>
            <w:tcW w:w="842" w:type="pct"/>
            <w:vAlign w:val="center"/>
          </w:tcPr>
          <w:p w14:paraId="5B65CF1F" w14:textId="77777777" w:rsidR="002C39C2" w:rsidRPr="002E0B0F" w:rsidRDefault="002C39C2" w:rsidP="00CE0777">
            <w:pPr>
              <w:spacing w:after="0" w:line="240" w:lineRule="auto"/>
            </w:pPr>
          </w:p>
        </w:tc>
      </w:tr>
      <w:tr w:rsidR="001A79D8" w:rsidRPr="002E0B0F" w14:paraId="2079DA73" w14:textId="77777777" w:rsidTr="00D47BD8">
        <w:trPr>
          <w:cantSplit/>
          <w:jc w:val="center"/>
        </w:trPr>
        <w:tc>
          <w:tcPr>
            <w:tcW w:w="341" w:type="pct"/>
            <w:vMerge w:val="restart"/>
            <w:shd w:val="clear" w:color="auto" w:fill="EAE2DD" w:themeFill="background2"/>
            <w:textDirection w:val="btLr"/>
            <w:vAlign w:val="center"/>
          </w:tcPr>
          <w:p w14:paraId="672DBF6F" w14:textId="52D6850E" w:rsidR="002C39C2" w:rsidRPr="00054ECA" w:rsidRDefault="002C39C2" w:rsidP="00DF3835">
            <w:pPr>
              <w:spacing w:after="0" w:line="240" w:lineRule="auto"/>
              <w:jc w:val="center"/>
              <w:rPr>
                <w:b/>
                <w:bCs/>
              </w:rPr>
            </w:pPr>
            <w:r w:rsidRPr="00F773FE">
              <w:rPr>
                <w:sz w:val="24"/>
                <w:szCs w:val="28"/>
              </w:rPr>
              <w:lastRenderedPageBreak/>
              <w:t xml:space="preserve">Legal </w:t>
            </w:r>
            <w:r w:rsidR="007E04AA">
              <w:rPr>
                <w:sz w:val="24"/>
                <w:szCs w:val="28"/>
              </w:rPr>
              <w:t>A</w:t>
            </w:r>
            <w:r w:rsidRPr="00F773FE">
              <w:rPr>
                <w:sz w:val="24"/>
                <w:szCs w:val="28"/>
              </w:rPr>
              <w:t xml:space="preserve">uthorities for </w:t>
            </w:r>
            <w:r w:rsidR="007E04AA">
              <w:rPr>
                <w:sz w:val="24"/>
                <w:szCs w:val="28"/>
              </w:rPr>
              <w:t>C</w:t>
            </w:r>
            <w:r w:rsidRPr="00F773FE">
              <w:rPr>
                <w:sz w:val="24"/>
                <w:szCs w:val="28"/>
              </w:rPr>
              <w:t xml:space="preserve">ollection, </w:t>
            </w:r>
            <w:r w:rsidR="007E04AA">
              <w:rPr>
                <w:sz w:val="24"/>
                <w:szCs w:val="28"/>
              </w:rPr>
              <w:t>U</w:t>
            </w:r>
            <w:r w:rsidRPr="00F773FE">
              <w:rPr>
                <w:sz w:val="24"/>
                <w:szCs w:val="28"/>
              </w:rPr>
              <w:t xml:space="preserve">se or </w:t>
            </w:r>
            <w:r w:rsidR="007E04AA">
              <w:rPr>
                <w:sz w:val="24"/>
                <w:szCs w:val="28"/>
              </w:rPr>
              <w:t>D</w:t>
            </w:r>
            <w:r w:rsidRPr="00F773FE">
              <w:rPr>
                <w:sz w:val="24"/>
                <w:szCs w:val="28"/>
              </w:rPr>
              <w:t>isclosure</w:t>
            </w:r>
          </w:p>
        </w:tc>
        <w:tc>
          <w:tcPr>
            <w:tcW w:w="3553" w:type="pct"/>
            <w:shd w:val="clear" w:color="auto" w:fill="FFFFFF"/>
            <w:tcMar>
              <w:top w:w="75" w:type="dxa"/>
              <w:left w:w="75" w:type="dxa"/>
              <w:bottom w:w="75" w:type="dxa"/>
              <w:right w:w="75" w:type="dxa"/>
            </w:tcMar>
            <w:hideMark/>
          </w:tcPr>
          <w:p w14:paraId="6115F5F1" w14:textId="77777777" w:rsidR="002C39C2" w:rsidRPr="002E0B0F" w:rsidRDefault="002C39C2" w:rsidP="00DF3835">
            <w:pPr>
              <w:spacing w:after="0" w:line="240" w:lineRule="auto"/>
            </w:pPr>
            <w:r w:rsidRPr="002E0B0F">
              <w:rPr>
                <w:b/>
                <w:bCs/>
              </w:rPr>
              <w:t>Collection of personal information</w:t>
            </w:r>
            <w:r w:rsidRPr="002E0B0F">
              <w:t xml:space="preserve"> (POPA sections 2, 4 and 5)</w:t>
            </w:r>
          </w:p>
          <w:p w14:paraId="2288F89E" w14:textId="77777777" w:rsidR="002C39C2" w:rsidRPr="002E0B0F" w:rsidRDefault="002C39C2" w:rsidP="00DF3835">
            <w:pPr>
              <w:spacing w:after="0" w:line="240" w:lineRule="auto"/>
            </w:pPr>
            <w:r w:rsidRPr="002E0B0F">
              <w:t xml:space="preserve">The contract specifies that the contractor will collect personal information on behalf of the contractor and specify the authority under POPA for this collection. </w:t>
            </w:r>
          </w:p>
          <w:p w14:paraId="7BB6859C" w14:textId="77777777" w:rsidR="002C39C2" w:rsidRPr="002E0B0F" w:rsidRDefault="002C39C2" w:rsidP="00DF3835">
            <w:pPr>
              <w:spacing w:after="0" w:line="240" w:lineRule="auto"/>
            </w:pPr>
            <w:r w:rsidRPr="002E0B0F">
              <w:rPr>
                <w:b/>
                <w:bCs/>
              </w:rPr>
              <w:t>Note</w:t>
            </w:r>
            <w:r w:rsidRPr="002E0B0F">
              <w:t>: Any collection must be limited to the personal information that is necessary for the service provider to perform the services.</w:t>
            </w:r>
          </w:p>
        </w:tc>
        <w:tc>
          <w:tcPr>
            <w:tcW w:w="264" w:type="pct"/>
            <w:vAlign w:val="center"/>
          </w:tcPr>
          <w:p w14:paraId="2430A510" w14:textId="77777777" w:rsidR="002C39C2" w:rsidRPr="002E0B0F" w:rsidRDefault="002C39C2" w:rsidP="00CE0777">
            <w:pPr>
              <w:spacing w:after="0" w:line="240" w:lineRule="auto"/>
            </w:pPr>
          </w:p>
        </w:tc>
        <w:tc>
          <w:tcPr>
            <w:tcW w:w="842" w:type="pct"/>
            <w:vAlign w:val="center"/>
          </w:tcPr>
          <w:p w14:paraId="79392629" w14:textId="77777777" w:rsidR="002C39C2" w:rsidRPr="002E0B0F" w:rsidRDefault="002C39C2" w:rsidP="00CE0777">
            <w:pPr>
              <w:spacing w:after="0" w:line="240" w:lineRule="auto"/>
            </w:pPr>
          </w:p>
        </w:tc>
      </w:tr>
      <w:tr w:rsidR="001A79D8" w:rsidRPr="002E0B0F" w14:paraId="6F28FC73" w14:textId="77777777" w:rsidTr="00D47BD8">
        <w:trPr>
          <w:cantSplit/>
          <w:trHeight w:val="626"/>
          <w:jc w:val="center"/>
        </w:trPr>
        <w:tc>
          <w:tcPr>
            <w:tcW w:w="341" w:type="pct"/>
            <w:vMerge/>
            <w:shd w:val="clear" w:color="auto" w:fill="EAE2DD" w:themeFill="background2"/>
          </w:tcPr>
          <w:p w14:paraId="7DBE2273"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023C8A38" w14:textId="77777777" w:rsidR="002C39C2" w:rsidRPr="002E0B0F" w:rsidRDefault="002C39C2" w:rsidP="00DF3835">
            <w:pPr>
              <w:spacing w:after="0" w:line="240" w:lineRule="auto"/>
            </w:pPr>
            <w:r w:rsidRPr="002E0B0F">
              <w:t>The contract specifies what personal information may be collected by the service provider and prohibits the collection of any other personal information.</w:t>
            </w:r>
          </w:p>
        </w:tc>
        <w:tc>
          <w:tcPr>
            <w:tcW w:w="264" w:type="pct"/>
            <w:vAlign w:val="center"/>
          </w:tcPr>
          <w:p w14:paraId="678F444F" w14:textId="77777777" w:rsidR="002C39C2" w:rsidRPr="002E0B0F" w:rsidRDefault="002C39C2" w:rsidP="00CE0777">
            <w:pPr>
              <w:spacing w:after="0" w:line="240" w:lineRule="auto"/>
            </w:pPr>
          </w:p>
        </w:tc>
        <w:tc>
          <w:tcPr>
            <w:tcW w:w="842" w:type="pct"/>
            <w:vAlign w:val="center"/>
          </w:tcPr>
          <w:p w14:paraId="7E3C6CDB" w14:textId="77777777" w:rsidR="002C39C2" w:rsidRPr="002E0B0F" w:rsidRDefault="002C39C2" w:rsidP="00CE0777">
            <w:pPr>
              <w:spacing w:after="0" w:line="240" w:lineRule="auto"/>
            </w:pPr>
          </w:p>
        </w:tc>
      </w:tr>
      <w:tr w:rsidR="001A79D8" w:rsidRPr="002E0B0F" w14:paraId="790E9716" w14:textId="77777777" w:rsidTr="00D47BD8">
        <w:trPr>
          <w:cantSplit/>
          <w:jc w:val="center"/>
        </w:trPr>
        <w:tc>
          <w:tcPr>
            <w:tcW w:w="341" w:type="pct"/>
            <w:vMerge/>
            <w:shd w:val="clear" w:color="auto" w:fill="EAE2DD" w:themeFill="background2"/>
          </w:tcPr>
          <w:p w14:paraId="1269C164"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7E2CC54F" w14:textId="77777777" w:rsidR="002C39C2" w:rsidRPr="002E0B0F" w:rsidRDefault="002C39C2" w:rsidP="00DF3835">
            <w:pPr>
              <w:spacing w:after="0" w:line="240" w:lineRule="auto"/>
            </w:pPr>
            <w:r w:rsidRPr="002E0B0F">
              <w:t xml:space="preserve">The contract requires the service provider to adhere to the requirements in POPA for collecting personal information, including for direct collection and notice. Any permitted indirect collection is identified in the contract along with the legal authority for this indirect collection. </w:t>
            </w:r>
          </w:p>
        </w:tc>
        <w:tc>
          <w:tcPr>
            <w:tcW w:w="264" w:type="pct"/>
            <w:vAlign w:val="center"/>
          </w:tcPr>
          <w:p w14:paraId="169A5971" w14:textId="77777777" w:rsidR="002C39C2" w:rsidRPr="002E0B0F" w:rsidRDefault="002C39C2" w:rsidP="00CE0777">
            <w:pPr>
              <w:spacing w:after="0" w:line="240" w:lineRule="auto"/>
            </w:pPr>
          </w:p>
        </w:tc>
        <w:tc>
          <w:tcPr>
            <w:tcW w:w="842" w:type="pct"/>
            <w:vAlign w:val="center"/>
          </w:tcPr>
          <w:p w14:paraId="3A6613B3" w14:textId="77777777" w:rsidR="002C39C2" w:rsidRPr="002E0B0F" w:rsidRDefault="002C39C2" w:rsidP="00CE0777">
            <w:pPr>
              <w:spacing w:after="0" w:line="240" w:lineRule="auto"/>
            </w:pPr>
          </w:p>
        </w:tc>
      </w:tr>
      <w:tr w:rsidR="001A79D8" w:rsidRPr="002E0B0F" w14:paraId="2FCF6EC9" w14:textId="77777777" w:rsidTr="00D47BD8">
        <w:trPr>
          <w:cantSplit/>
          <w:jc w:val="center"/>
        </w:trPr>
        <w:tc>
          <w:tcPr>
            <w:tcW w:w="341" w:type="pct"/>
            <w:vMerge/>
            <w:shd w:val="clear" w:color="auto" w:fill="EAE2DD" w:themeFill="background2"/>
          </w:tcPr>
          <w:p w14:paraId="3FC717C2"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53E7558D" w14:textId="4786336F" w:rsidR="002C39C2" w:rsidRPr="002E0B0F" w:rsidRDefault="002C39C2" w:rsidP="00DF3835">
            <w:pPr>
              <w:spacing w:after="0" w:line="240" w:lineRule="auto"/>
            </w:pPr>
            <w:r w:rsidRPr="002E0B0F">
              <w:t xml:space="preserve">The contract requires the service provider to give notice as required by section 5(2)(d) of POPA </w:t>
            </w:r>
            <w:r w:rsidR="007E04AA">
              <w:t>if</w:t>
            </w:r>
            <w:r w:rsidRPr="002E0B0F">
              <w:t xml:space="preserve"> the personal information collected will be </w:t>
            </w:r>
            <w:r w:rsidR="007E04AA">
              <w:t>entered</w:t>
            </w:r>
            <w:r w:rsidRPr="002E0B0F">
              <w:t xml:space="preserve"> into an automated system to generate content or make decisions, recommendations or predictions. </w:t>
            </w:r>
          </w:p>
        </w:tc>
        <w:tc>
          <w:tcPr>
            <w:tcW w:w="264" w:type="pct"/>
            <w:vAlign w:val="center"/>
          </w:tcPr>
          <w:p w14:paraId="6CC9E786" w14:textId="77777777" w:rsidR="002C39C2" w:rsidRPr="002E0B0F" w:rsidRDefault="002C39C2" w:rsidP="00CE0777">
            <w:pPr>
              <w:spacing w:after="0" w:line="240" w:lineRule="auto"/>
            </w:pPr>
          </w:p>
        </w:tc>
        <w:tc>
          <w:tcPr>
            <w:tcW w:w="842" w:type="pct"/>
            <w:vAlign w:val="center"/>
          </w:tcPr>
          <w:p w14:paraId="18C3EFB3" w14:textId="77777777" w:rsidR="002C39C2" w:rsidRPr="002E0B0F" w:rsidRDefault="002C39C2" w:rsidP="00CE0777">
            <w:pPr>
              <w:spacing w:after="0" w:line="240" w:lineRule="auto"/>
            </w:pPr>
          </w:p>
        </w:tc>
      </w:tr>
      <w:tr w:rsidR="001A79D8" w:rsidRPr="002E0B0F" w14:paraId="26D5C1DC" w14:textId="77777777" w:rsidTr="00D47BD8">
        <w:trPr>
          <w:cantSplit/>
          <w:jc w:val="center"/>
        </w:trPr>
        <w:tc>
          <w:tcPr>
            <w:tcW w:w="341" w:type="pct"/>
            <w:vMerge/>
            <w:shd w:val="clear" w:color="auto" w:fill="EAE2DD" w:themeFill="background2"/>
          </w:tcPr>
          <w:p w14:paraId="43D9D6CF"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1712891C" w14:textId="77777777" w:rsidR="002C39C2" w:rsidRPr="002E0B0F" w:rsidRDefault="002C39C2" w:rsidP="00DF3835">
            <w:pPr>
              <w:spacing w:after="0" w:line="240" w:lineRule="auto"/>
            </w:pPr>
            <w:r w:rsidRPr="002E0B0F">
              <w:t xml:space="preserve">The contract requires that when collecting personal information from an individual, the service provider or its employees inform the individual that it/they are a service provider to the public body, performing the services on behalf of the public body, that the collection is subject to POPA, and that they are authorized thereunder to collect the information. </w:t>
            </w:r>
          </w:p>
          <w:p w14:paraId="3D22BCB5" w14:textId="77777777" w:rsidR="002C39C2" w:rsidRPr="002E0B0F" w:rsidRDefault="002C39C2" w:rsidP="00DF3835">
            <w:pPr>
              <w:spacing w:after="0" w:line="240" w:lineRule="auto"/>
            </w:pPr>
            <w:r w:rsidRPr="002E0B0F">
              <w:t>Note: This could be done by way of notice.</w:t>
            </w:r>
          </w:p>
        </w:tc>
        <w:tc>
          <w:tcPr>
            <w:tcW w:w="264" w:type="pct"/>
            <w:vAlign w:val="center"/>
          </w:tcPr>
          <w:p w14:paraId="78AE34CE" w14:textId="77777777" w:rsidR="002C39C2" w:rsidRPr="002E0B0F" w:rsidRDefault="002C39C2" w:rsidP="00CE0777">
            <w:pPr>
              <w:spacing w:after="0" w:line="240" w:lineRule="auto"/>
            </w:pPr>
          </w:p>
        </w:tc>
        <w:tc>
          <w:tcPr>
            <w:tcW w:w="842" w:type="pct"/>
            <w:vAlign w:val="center"/>
          </w:tcPr>
          <w:p w14:paraId="4E2CC6DC" w14:textId="77777777" w:rsidR="002C39C2" w:rsidRPr="002E0B0F" w:rsidRDefault="002C39C2" w:rsidP="00CE0777">
            <w:pPr>
              <w:spacing w:after="0" w:line="240" w:lineRule="auto"/>
            </w:pPr>
          </w:p>
        </w:tc>
      </w:tr>
      <w:tr w:rsidR="001A79D8" w:rsidRPr="002E0B0F" w14:paraId="587DD6C4" w14:textId="77777777" w:rsidTr="00D47BD8">
        <w:trPr>
          <w:cantSplit/>
          <w:jc w:val="center"/>
        </w:trPr>
        <w:tc>
          <w:tcPr>
            <w:tcW w:w="341" w:type="pct"/>
            <w:vMerge/>
            <w:shd w:val="clear" w:color="auto" w:fill="EAE2DD" w:themeFill="background2"/>
          </w:tcPr>
          <w:p w14:paraId="717AE9E3" w14:textId="77777777" w:rsidR="002C39C2" w:rsidRPr="00054ECA" w:rsidRDefault="002C39C2" w:rsidP="00DF3835">
            <w:pPr>
              <w:spacing w:after="0" w:line="240" w:lineRule="auto"/>
              <w:rPr>
                <w:b/>
                <w:bCs/>
              </w:rPr>
            </w:pPr>
          </w:p>
        </w:tc>
        <w:tc>
          <w:tcPr>
            <w:tcW w:w="3553" w:type="pct"/>
            <w:shd w:val="clear" w:color="auto" w:fill="FFFFFF"/>
            <w:tcMar>
              <w:top w:w="75" w:type="dxa"/>
              <w:left w:w="75" w:type="dxa"/>
              <w:bottom w:w="75" w:type="dxa"/>
              <w:right w:w="75" w:type="dxa"/>
            </w:tcMar>
            <w:hideMark/>
          </w:tcPr>
          <w:p w14:paraId="136BA8EC" w14:textId="77777777" w:rsidR="002C39C2" w:rsidRPr="002E0B0F" w:rsidRDefault="002C39C2" w:rsidP="00DF3835">
            <w:pPr>
              <w:spacing w:after="0" w:line="240" w:lineRule="auto"/>
            </w:pPr>
            <w:r w:rsidRPr="002E0B0F">
              <w:rPr>
                <w:b/>
                <w:bCs/>
              </w:rPr>
              <w:t xml:space="preserve">Accuracy of personal information </w:t>
            </w:r>
            <w:r w:rsidRPr="002E0B0F">
              <w:t>(POPA section 6)</w:t>
            </w:r>
          </w:p>
          <w:p w14:paraId="243C182A" w14:textId="77777777" w:rsidR="002C39C2" w:rsidRPr="002E0B0F" w:rsidRDefault="002C39C2" w:rsidP="00DF3835">
            <w:pPr>
              <w:spacing w:after="0" w:line="240" w:lineRule="auto"/>
            </w:pPr>
            <w:r w:rsidRPr="002E0B0F">
              <w:t xml:space="preserve">The contract requires that the service provider make every reasonable effort to ensure the accuracy and completeness of any personal information collected </w:t>
            </w:r>
            <w:r w:rsidRPr="002E0B0F">
              <w:rPr>
                <w:u w:val="single"/>
              </w:rPr>
              <w:t>where this information will be used to make a decision that will directly affect the individual to whom the information relates</w:t>
            </w:r>
            <w:r w:rsidRPr="002E0B0F">
              <w:t>.</w:t>
            </w:r>
          </w:p>
          <w:p w14:paraId="3077C01A" w14:textId="77777777" w:rsidR="002C39C2" w:rsidRPr="002E0B0F" w:rsidRDefault="002C39C2" w:rsidP="00DF3835">
            <w:pPr>
              <w:spacing w:after="0" w:line="240" w:lineRule="auto"/>
            </w:pPr>
            <w:r w:rsidRPr="002E0B0F">
              <w:t>The contract requires that this information be retained for at least one year after using it</w:t>
            </w:r>
            <w:r>
              <w:t xml:space="preserve"> to </w:t>
            </w:r>
            <w:proofErr w:type="gramStart"/>
            <w:r>
              <w:t>make a decision</w:t>
            </w:r>
            <w:proofErr w:type="gramEnd"/>
            <w:r w:rsidRPr="002E0B0F">
              <w:t>.</w:t>
            </w:r>
          </w:p>
        </w:tc>
        <w:tc>
          <w:tcPr>
            <w:tcW w:w="264" w:type="pct"/>
            <w:vAlign w:val="center"/>
          </w:tcPr>
          <w:p w14:paraId="7D116BCD" w14:textId="77777777" w:rsidR="002C39C2" w:rsidRPr="002E0B0F" w:rsidRDefault="002C39C2" w:rsidP="00CE0777">
            <w:pPr>
              <w:spacing w:after="0" w:line="240" w:lineRule="auto"/>
            </w:pPr>
          </w:p>
        </w:tc>
        <w:tc>
          <w:tcPr>
            <w:tcW w:w="842" w:type="pct"/>
            <w:vAlign w:val="center"/>
          </w:tcPr>
          <w:p w14:paraId="206186D2" w14:textId="77777777" w:rsidR="002C39C2" w:rsidRPr="002E0B0F" w:rsidRDefault="002C39C2" w:rsidP="00CE0777">
            <w:pPr>
              <w:spacing w:after="0" w:line="240" w:lineRule="auto"/>
            </w:pPr>
          </w:p>
        </w:tc>
      </w:tr>
      <w:tr w:rsidR="001A79D8" w:rsidRPr="002E0B0F" w14:paraId="2BEED67D" w14:textId="77777777" w:rsidTr="00D47BD8">
        <w:trPr>
          <w:cantSplit/>
          <w:jc w:val="center"/>
        </w:trPr>
        <w:tc>
          <w:tcPr>
            <w:tcW w:w="341" w:type="pct"/>
            <w:vMerge/>
            <w:shd w:val="clear" w:color="auto" w:fill="EAE2DD" w:themeFill="background2"/>
          </w:tcPr>
          <w:p w14:paraId="6EA50B0C" w14:textId="77777777" w:rsidR="002C39C2" w:rsidRPr="00054ECA" w:rsidRDefault="002C39C2" w:rsidP="00DF3835">
            <w:pPr>
              <w:spacing w:after="0" w:line="240" w:lineRule="auto"/>
              <w:rPr>
                <w:b/>
                <w:bCs/>
              </w:rPr>
            </w:pPr>
          </w:p>
        </w:tc>
        <w:tc>
          <w:tcPr>
            <w:tcW w:w="3553" w:type="pct"/>
            <w:shd w:val="clear" w:color="auto" w:fill="FFFFFF"/>
            <w:tcMar>
              <w:top w:w="75" w:type="dxa"/>
              <w:left w:w="75" w:type="dxa"/>
              <w:bottom w:w="75" w:type="dxa"/>
              <w:right w:w="75" w:type="dxa"/>
            </w:tcMar>
            <w:hideMark/>
          </w:tcPr>
          <w:p w14:paraId="4CA5B023" w14:textId="77777777" w:rsidR="002C39C2" w:rsidRPr="002E0B0F" w:rsidRDefault="002C39C2" w:rsidP="00DF3835">
            <w:pPr>
              <w:spacing w:after="0" w:line="240" w:lineRule="auto"/>
            </w:pPr>
            <w:r w:rsidRPr="002E0B0F">
              <w:rPr>
                <w:b/>
                <w:bCs/>
              </w:rPr>
              <w:t xml:space="preserve">Use of personal information </w:t>
            </w:r>
            <w:r w:rsidRPr="002E0B0F">
              <w:t>(POPA sections 11, 12, 14, 17)</w:t>
            </w:r>
          </w:p>
          <w:p w14:paraId="0B631465" w14:textId="77777777" w:rsidR="002C39C2" w:rsidRPr="002E0B0F" w:rsidRDefault="002C39C2" w:rsidP="00DF3835">
            <w:pPr>
              <w:spacing w:after="0" w:line="240" w:lineRule="auto"/>
            </w:pPr>
            <w:r w:rsidRPr="002E0B0F">
              <w:t>The contract specifies the permitted uses of the personal information (including any generated, such as derived data) by a service provider and the authority under POPA for this use.</w:t>
            </w:r>
          </w:p>
        </w:tc>
        <w:tc>
          <w:tcPr>
            <w:tcW w:w="264" w:type="pct"/>
            <w:vAlign w:val="center"/>
          </w:tcPr>
          <w:p w14:paraId="73122CD2" w14:textId="77777777" w:rsidR="002C39C2" w:rsidRPr="002E0B0F" w:rsidRDefault="002C39C2" w:rsidP="00CE0777">
            <w:pPr>
              <w:spacing w:after="0" w:line="240" w:lineRule="auto"/>
            </w:pPr>
          </w:p>
        </w:tc>
        <w:tc>
          <w:tcPr>
            <w:tcW w:w="842" w:type="pct"/>
            <w:vAlign w:val="center"/>
          </w:tcPr>
          <w:p w14:paraId="1B4E7518" w14:textId="77777777" w:rsidR="002C39C2" w:rsidRPr="002E0B0F" w:rsidRDefault="002C39C2" w:rsidP="00CE0777">
            <w:pPr>
              <w:spacing w:after="0" w:line="240" w:lineRule="auto"/>
            </w:pPr>
          </w:p>
        </w:tc>
      </w:tr>
      <w:tr w:rsidR="001A79D8" w:rsidRPr="002E0B0F" w14:paraId="23A50CB2" w14:textId="77777777" w:rsidTr="00D47BD8">
        <w:trPr>
          <w:cantSplit/>
          <w:jc w:val="center"/>
        </w:trPr>
        <w:tc>
          <w:tcPr>
            <w:tcW w:w="341" w:type="pct"/>
            <w:vMerge/>
            <w:shd w:val="clear" w:color="auto" w:fill="EAE2DD" w:themeFill="background2"/>
          </w:tcPr>
          <w:p w14:paraId="04A738CE"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1E3ADD94" w14:textId="77777777" w:rsidR="002C39C2" w:rsidRPr="002E0B0F" w:rsidRDefault="002C39C2" w:rsidP="00DF3835">
            <w:pPr>
              <w:spacing w:after="0" w:line="240" w:lineRule="auto"/>
            </w:pPr>
            <w:r w:rsidRPr="002E0B0F">
              <w:t>The contract requires the service provider to adhere to the requirements in POPA for any use of the personal information including that it may only use this personal information to the extent necessary to enable the service provider to carry out its permitted use.</w:t>
            </w:r>
          </w:p>
        </w:tc>
        <w:tc>
          <w:tcPr>
            <w:tcW w:w="264" w:type="pct"/>
            <w:vAlign w:val="center"/>
          </w:tcPr>
          <w:p w14:paraId="535326B8" w14:textId="77777777" w:rsidR="002C39C2" w:rsidRPr="002E0B0F" w:rsidRDefault="002C39C2" w:rsidP="00CE0777">
            <w:pPr>
              <w:spacing w:after="0" w:line="240" w:lineRule="auto"/>
            </w:pPr>
          </w:p>
        </w:tc>
        <w:tc>
          <w:tcPr>
            <w:tcW w:w="842" w:type="pct"/>
            <w:vAlign w:val="center"/>
          </w:tcPr>
          <w:p w14:paraId="38014446" w14:textId="77777777" w:rsidR="002C39C2" w:rsidRPr="002E0B0F" w:rsidRDefault="002C39C2" w:rsidP="00CE0777">
            <w:pPr>
              <w:spacing w:after="0" w:line="240" w:lineRule="auto"/>
            </w:pPr>
          </w:p>
        </w:tc>
      </w:tr>
      <w:tr w:rsidR="001A79D8" w:rsidRPr="002E0B0F" w14:paraId="397C74EB" w14:textId="77777777" w:rsidTr="00D47BD8">
        <w:trPr>
          <w:cantSplit/>
          <w:jc w:val="center"/>
        </w:trPr>
        <w:tc>
          <w:tcPr>
            <w:tcW w:w="341" w:type="pct"/>
            <w:vMerge/>
            <w:shd w:val="clear" w:color="auto" w:fill="EAE2DD" w:themeFill="background2"/>
          </w:tcPr>
          <w:p w14:paraId="0DE4C549"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1C7132FA" w14:textId="77777777" w:rsidR="002C39C2" w:rsidRPr="002E0B0F" w:rsidRDefault="002C39C2" w:rsidP="00DF3835">
            <w:pPr>
              <w:spacing w:after="0" w:line="240" w:lineRule="auto"/>
            </w:pPr>
            <w:r w:rsidRPr="002E0B0F">
              <w:t>The contract restricts the service provider from using the personal information other than as permitted in the contract.</w:t>
            </w:r>
          </w:p>
          <w:p w14:paraId="3DBD4FCD" w14:textId="77777777" w:rsidR="002C39C2" w:rsidRPr="002E0B0F" w:rsidRDefault="002C39C2" w:rsidP="00DF3835">
            <w:pPr>
              <w:spacing w:after="0" w:line="240" w:lineRule="auto"/>
            </w:pPr>
            <w:r w:rsidRPr="002E0B0F">
              <w:rPr>
                <w:b/>
                <w:bCs/>
              </w:rPr>
              <w:t>Note</w:t>
            </w:r>
            <w:r w:rsidRPr="002E0B0F">
              <w:t>: consider including a non-exhaustive list of prohibited activities to provide clarity, such as for marketing or training systems to improve services.</w:t>
            </w:r>
          </w:p>
        </w:tc>
        <w:tc>
          <w:tcPr>
            <w:tcW w:w="264" w:type="pct"/>
            <w:vAlign w:val="center"/>
          </w:tcPr>
          <w:p w14:paraId="22AB410B" w14:textId="77777777" w:rsidR="002C39C2" w:rsidRPr="002E0B0F" w:rsidRDefault="002C39C2" w:rsidP="00CE0777">
            <w:pPr>
              <w:spacing w:after="0" w:line="240" w:lineRule="auto"/>
            </w:pPr>
          </w:p>
        </w:tc>
        <w:tc>
          <w:tcPr>
            <w:tcW w:w="842" w:type="pct"/>
            <w:vAlign w:val="center"/>
          </w:tcPr>
          <w:p w14:paraId="1EEB071C" w14:textId="77777777" w:rsidR="002C39C2" w:rsidRPr="002E0B0F" w:rsidRDefault="002C39C2" w:rsidP="00CE0777">
            <w:pPr>
              <w:spacing w:after="0" w:line="240" w:lineRule="auto"/>
            </w:pPr>
          </w:p>
        </w:tc>
      </w:tr>
      <w:tr w:rsidR="001A79D8" w:rsidRPr="002E0B0F" w14:paraId="558B5D1C" w14:textId="77777777" w:rsidTr="00D47BD8">
        <w:trPr>
          <w:cantSplit/>
          <w:jc w:val="center"/>
        </w:trPr>
        <w:tc>
          <w:tcPr>
            <w:tcW w:w="341" w:type="pct"/>
            <w:vMerge w:val="restart"/>
            <w:shd w:val="clear" w:color="auto" w:fill="EAE2DD" w:themeFill="background2"/>
            <w:textDirection w:val="btLr"/>
            <w:vAlign w:val="center"/>
          </w:tcPr>
          <w:p w14:paraId="769E3A9A" w14:textId="5AEDDFA3" w:rsidR="002C39C2" w:rsidRPr="00F773FE" w:rsidRDefault="007E04AA" w:rsidP="00DF3835">
            <w:pPr>
              <w:spacing w:after="0" w:line="240" w:lineRule="auto"/>
              <w:ind w:left="113" w:right="113"/>
              <w:jc w:val="center"/>
              <w:rPr>
                <w:sz w:val="28"/>
                <w:szCs w:val="28"/>
              </w:rPr>
            </w:pPr>
            <w:r w:rsidRPr="00F773FE">
              <w:rPr>
                <w:sz w:val="24"/>
                <w:szCs w:val="28"/>
              </w:rPr>
              <w:lastRenderedPageBreak/>
              <w:t xml:space="preserve">Legal </w:t>
            </w:r>
            <w:r>
              <w:rPr>
                <w:sz w:val="24"/>
                <w:szCs w:val="28"/>
              </w:rPr>
              <w:t>A</w:t>
            </w:r>
            <w:r w:rsidRPr="00F773FE">
              <w:rPr>
                <w:sz w:val="24"/>
                <w:szCs w:val="28"/>
              </w:rPr>
              <w:t xml:space="preserve">uthorities for </w:t>
            </w:r>
            <w:r>
              <w:rPr>
                <w:sz w:val="24"/>
                <w:szCs w:val="28"/>
              </w:rPr>
              <w:t>C</w:t>
            </w:r>
            <w:r w:rsidRPr="00F773FE">
              <w:rPr>
                <w:sz w:val="24"/>
                <w:szCs w:val="28"/>
              </w:rPr>
              <w:t xml:space="preserve">ollection, </w:t>
            </w:r>
            <w:r>
              <w:rPr>
                <w:sz w:val="24"/>
                <w:szCs w:val="28"/>
              </w:rPr>
              <w:t>U</w:t>
            </w:r>
            <w:r w:rsidRPr="00F773FE">
              <w:rPr>
                <w:sz w:val="24"/>
                <w:szCs w:val="28"/>
              </w:rPr>
              <w:t xml:space="preserve">se or </w:t>
            </w:r>
            <w:r>
              <w:rPr>
                <w:sz w:val="24"/>
                <w:szCs w:val="28"/>
              </w:rPr>
              <w:t>D</w:t>
            </w:r>
            <w:r w:rsidRPr="00F773FE">
              <w:rPr>
                <w:sz w:val="24"/>
                <w:szCs w:val="28"/>
              </w:rPr>
              <w:t>isclosure</w:t>
            </w:r>
          </w:p>
        </w:tc>
        <w:tc>
          <w:tcPr>
            <w:tcW w:w="3553" w:type="pct"/>
            <w:shd w:val="clear" w:color="auto" w:fill="FFFFFF"/>
            <w:tcMar>
              <w:top w:w="75" w:type="dxa"/>
              <w:left w:w="75" w:type="dxa"/>
              <w:bottom w:w="75" w:type="dxa"/>
              <w:right w:w="75" w:type="dxa"/>
            </w:tcMar>
            <w:hideMark/>
          </w:tcPr>
          <w:p w14:paraId="2F3B20FB" w14:textId="77777777" w:rsidR="002C39C2" w:rsidRPr="002E0B0F" w:rsidRDefault="002C39C2" w:rsidP="00DF3835">
            <w:pPr>
              <w:spacing w:after="0" w:line="240" w:lineRule="auto"/>
            </w:pPr>
            <w:r w:rsidRPr="002E0B0F">
              <w:rPr>
                <w:b/>
                <w:bCs/>
              </w:rPr>
              <w:t xml:space="preserve">Disclosure of personal information </w:t>
            </w:r>
            <w:r w:rsidRPr="002E0B0F">
              <w:t>(POPA sections 13 and 19)</w:t>
            </w:r>
          </w:p>
          <w:p w14:paraId="0A6CFA8E" w14:textId="77777777" w:rsidR="002C39C2" w:rsidRPr="002E0B0F" w:rsidRDefault="002C39C2" w:rsidP="00DF3835">
            <w:pPr>
              <w:spacing w:after="0" w:line="240" w:lineRule="auto"/>
            </w:pPr>
            <w:r w:rsidRPr="002E0B0F">
              <w:t>The contract specifies the permitted disclosures of personal information, including what specific personal information may be disclosed, and the authority under POPA for these disclosures.</w:t>
            </w:r>
          </w:p>
          <w:p w14:paraId="2A6FE022" w14:textId="42FA6828" w:rsidR="002C39C2" w:rsidRPr="002E0B0F" w:rsidRDefault="002C39C2" w:rsidP="00DF3835">
            <w:pPr>
              <w:spacing w:after="0" w:line="240" w:lineRule="auto"/>
            </w:pPr>
            <w:r w:rsidRPr="002E0B0F">
              <w:t>Note: If the service provider is permitted to disclose personal information with consent, then the contract should set out the process for obtaining consent as required by POPA and section 2 of the Regulation.</w:t>
            </w:r>
          </w:p>
        </w:tc>
        <w:tc>
          <w:tcPr>
            <w:tcW w:w="264" w:type="pct"/>
            <w:vAlign w:val="center"/>
          </w:tcPr>
          <w:p w14:paraId="20F651AB" w14:textId="77777777" w:rsidR="002C39C2" w:rsidRPr="002E0B0F" w:rsidRDefault="002C39C2" w:rsidP="00CE0777">
            <w:pPr>
              <w:spacing w:after="0" w:line="240" w:lineRule="auto"/>
            </w:pPr>
          </w:p>
        </w:tc>
        <w:tc>
          <w:tcPr>
            <w:tcW w:w="842" w:type="pct"/>
            <w:vAlign w:val="center"/>
          </w:tcPr>
          <w:p w14:paraId="24A7D461" w14:textId="77777777" w:rsidR="002C39C2" w:rsidRPr="002E0B0F" w:rsidRDefault="002C39C2" w:rsidP="00CE0777">
            <w:pPr>
              <w:spacing w:after="0" w:line="240" w:lineRule="auto"/>
            </w:pPr>
          </w:p>
        </w:tc>
      </w:tr>
      <w:tr w:rsidR="001A79D8" w:rsidRPr="002E0B0F" w14:paraId="75972FD5" w14:textId="77777777" w:rsidTr="00D47BD8">
        <w:trPr>
          <w:cantSplit/>
          <w:jc w:val="center"/>
        </w:trPr>
        <w:tc>
          <w:tcPr>
            <w:tcW w:w="341" w:type="pct"/>
            <w:vMerge/>
            <w:shd w:val="clear" w:color="auto" w:fill="EAE2DD" w:themeFill="background2"/>
          </w:tcPr>
          <w:p w14:paraId="5E7FED23"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6CB93C1E" w14:textId="77777777" w:rsidR="002C39C2" w:rsidRPr="002E0B0F" w:rsidRDefault="002C39C2" w:rsidP="00DF3835">
            <w:pPr>
              <w:spacing w:after="0" w:line="240" w:lineRule="auto"/>
              <w:rPr>
                <w:b/>
                <w:bCs/>
              </w:rPr>
            </w:pPr>
            <w:r w:rsidRPr="002E0B0F">
              <w:t xml:space="preserve">The contract restricts the service provider from disclosing personal information other than as permitted in the contract and the service provider is required to adhere to the requirements in POPA for any permitted disclosures of the personal information. </w:t>
            </w:r>
          </w:p>
        </w:tc>
        <w:tc>
          <w:tcPr>
            <w:tcW w:w="264" w:type="pct"/>
            <w:vAlign w:val="center"/>
          </w:tcPr>
          <w:p w14:paraId="19443407" w14:textId="77777777" w:rsidR="002C39C2" w:rsidRPr="002E0B0F" w:rsidRDefault="002C39C2" w:rsidP="00CE0777">
            <w:pPr>
              <w:spacing w:after="0" w:line="240" w:lineRule="auto"/>
            </w:pPr>
          </w:p>
        </w:tc>
        <w:tc>
          <w:tcPr>
            <w:tcW w:w="842" w:type="pct"/>
            <w:vAlign w:val="center"/>
          </w:tcPr>
          <w:p w14:paraId="688C9E06" w14:textId="77777777" w:rsidR="002C39C2" w:rsidRPr="002E0B0F" w:rsidRDefault="002C39C2" w:rsidP="00CE0777">
            <w:pPr>
              <w:spacing w:after="0" w:line="240" w:lineRule="auto"/>
            </w:pPr>
          </w:p>
        </w:tc>
      </w:tr>
      <w:tr w:rsidR="001A79D8" w:rsidRPr="002E0B0F" w14:paraId="663C60A7" w14:textId="77777777" w:rsidTr="00D47BD8">
        <w:trPr>
          <w:cantSplit/>
          <w:jc w:val="center"/>
        </w:trPr>
        <w:tc>
          <w:tcPr>
            <w:tcW w:w="341" w:type="pct"/>
            <w:vMerge/>
            <w:shd w:val="clear" w:color="auto" w:fill="EAE2DD" w:themeFill="background2"/>
          </w:tcPr>
          <w:p w14:paraId="4412EE8C"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hideMark/>
          </w:tcPr>
          <w:p w14:paraId="2556478E" w14:textId="77777777" w:rsidR="002C39C2" w:rsidRPr="002E0B0F" w:rsidRDefault="002C39C2" w:rsidP="00DF3835">
            <w:pPr>
              <w:spacing w:after="0" w:line="240" w:lineRule="auto"/>
            </w:pPr>
            <w:r w:rsidRPr="002E0B0F">
              <w:t>The contract requires the service provider to notify the public body if it receives any request or demand for disclosure of personal information for a purpose not authorized under the contract, and which may be required by law, immediately on receiving the request or demand and must not disclose the personal information unless permitted to do so in writing by the public body.</w:t>
            </w:r>
          </w:p>
        </w:tc>
        <w:tc>
          <w:tcPr>
            <w:tcW w:w="264" w:type="pct"/>
            <w:vAlign w:val="center"/>
          </w:tcPr>
          <w:p w14:paraId="7A03CC21" w14:textId="77777777" w:rsidR="002C39C2" w:rsidRPr="002E0B0F" w:rsidRDefault="002C39C2" w:rsidP="00CE0777">
            <w:pPr>
              <w:spacing w:after="0" w:line="240" w:lineRule="auto"/>
            </w:pPr>
          </w:p>
        </w:tc>
        <w:tc>
          <w:tcPr>
            <w:tcW w:w="842" w:type="pct"/>
            <w:vAlign w:val="center"/>
          </w:tcPr>
          <w:p w14:paraId="7EBAFB01" w14:textId="77777777" w:rsidR="002C39C2" w:rsidRPr="002E0B0F" w:rsidRDefault="002C39C2" w:rsidP="00CE0777">
            <w:pPr>
              <w:spacing w:after="0" w:line="240" w:lineRule="auto"/>
            </w:pPr>
          </w:p>
        </w:tc>
      </w:tr>
      <w:tr w:rsidR="001A79D8" w:rsidRPr="002E0B0F" w14:paraId="533E47B1" w14:textId="77777777" w:rsidTr="00D47BD8">
        <w:trPr>
          <w:cantSplit/>
          <w:jc w:val="center"/>
        </w:trPr>
        <w:tc>
          <w:tcPr>
            <w:tcW w:w="341" w:type="pct"/>
            <w:vMerge w:val="restart"/>
            <w:shd w:val="clear" w:color="auto" w:fill="EAE2DD" w:themeFill="background2"/>
            <w:textDirection w:val="btLr"/>
            <w:vAlign w:val="center"/>
          </w:tcPr>
          <w:p w14:paraId="3554DA49" w14:textId="77777777" w:rsidR="002C39C2" w:rsidRPr="00F773FE" w:rsidRDefault="002C39C2" w:rsidP="00DF3835">
            <w:pPr>
              <w:spacing w:after="0" w:line="240" w:lineRule="auto"/>
              <w:ind w:left="113" w:right="113"/>
              <w:jc w:val="center"/>
              <w:rPr>
                <w:b/>
                <w:bCs/>
              </w:rPr>
            </w:pPr>
            <w:r w:rsidRPr="00F773FE">
              <w:rPr>
                <w:sz w:val="24"/>
                <w:szCs w:val="24"/>
              </w:rPr>
              <w:t>Requests for Access or Correction</w:t>
            </w:r>
          </w:p>
        </w:tc>
        <w:tc>
          <w:tcPr>
            <w:tcW w:w="3553" w:type="pct"/>
            <w:shd w:val="clear" w:color="auto" w:fill="FFFFFF"/>
            <w:tcMar>
              <w:top w:w="75" w:type="dxa"/>
              <w:left w:w="75" w:type="dxa"/>
              <w:bottom w:w="75" w:type="dxa"/>
              <w:right w:w="75" w:type="dxa"/>
            </w:tcMar>
            <w:hideMark/>
          </w:tcPr>
          <w:p w14:paraId="1346E06A" w14:textId="77777777" w:rsidR="002C39C2" w:rsidRPr="002E0B0F" w:rsidRDefault="002C39C2" w:rsidP="00DF3835">
            <w:pPr>
              <w:spacing w:after="0" w:line="240" w:lineRule="auto"/>
            </w:pPr>
            <w:r w:rsidRPr="002E0B0F">
              <w:rPr>
                <w:b/>
                <w:bCs/>
              </w:rPr>
              <w:t xml:space="preserve">Access to information and Correction requests </w:t>
            </w:r>
            <w:r w:rsidRPr="002E0B0F">
              <w:t>(ATIA section 7)</w:t>
            </w:r>
          </w:p>
          <w:p w14:paraId="211BF756" w14:textId="77777777" w:rsidR="002C39C2" w:rsidRPr="002E0B0F" w:rsidRDefault="002C39C2" w:rsidP="00DF3835">
            <w:pPr>
              <w:spacing w:after="0" w:line="240" w:lineRule="auto"/>
            </w:pPr>
            <w:r w:rsidRPr="002E0B0F">
              <w:t>The contract requires the service provider to respond to and manage, on behalf of the public body, access requests received under section 7 of ATIA or and/or correction request under section 7 of POPA.</w:t>
            </w:r>
          </w:p>
          <w:p w14:paraId="48EC53E4" w14:textId="77777777" w:rsidR="002C39C2" w:rsidRPr="002E0B0F" w:rsidRDefault="002C39C2" w:rsidP="007E04AA">
            <w:pPr>
              <w:pStyle w:val="ListParagraph"/>
              <w:numPr>
                <w:ilvl w:val="0"/>
                <w:numId w:val="28"/>
              </w:numPr>
              <w:spacing w:after="0" w:line="240" w:lineRule="auto"/>
            </w:pPr>
            <w:r w:rsidRPr="002E0B0F">
              <w:t>Roles and responsibilities of each of the public body and service provider are clarified.</w:t>
            </w:r>
          </w:p>
          <w:p w14:paraId="2D5B2DC4" w14:textId="77777777" w:rsidR="002C39C2" w:rsidRPr="002E0B0F" w:rsidRDefault="002C39C2" w:rsidP="007E04AA">
            <w:pPr>
              <w:pStyle w:val="ListParagraph"/>
              <w:numPr>
                <w:ilvl w:val="0"/>
                <w:numId w:val="28"/>
              </w:numPr>
              <w:spacing w:after="0" w:line="240" w:lineRule="auto"/>
            </w:pPr>
            <w:r w:rsidRPr="002E0B0F">
              <w:t>The specific responsibilities of the service provider for access request and correction requests are set out in the contract.</w:t>
            </w:r>
          </w:p>
          <w:p w14:paraId="1DF78D2D" w14:textId="735B48CA" w:rsidR="002C39C2" w:rsidRPr="002E0B0F" w:rsidRDefault="00052E62" w:rsidP="007E04AA">
            <w:pPr>
              <w:pStyle w:val="ListParagraph"/>
              <w:numPr>
                <w:ilvl w:val="0"/>
                <w:numId w:val="28"/>
              </w:numPr>
              <w:spacing w:after="0" w:line="240" w:lineRule="auto"/>
            </w:pPr>
            <w:r>
              <w:t xml:space="preserve">The contract </w:t>
            </w:r>
            <w:r w:rsidRPr="002E0B0F">
              <w:t>specifie</w:t>
            </w:r>
            <w:r>
              <w:t>s r</w:t>
            </w:r>
            <w:r w:rsidR="002C39C2" w:rsidRPr="002E0B0F">
              <w:t xml:space="preserve">eporting </w:t>
            </w:r>
            <w:r>
              <w:t xml:space="preserve">requirements </w:t>
            </w:r>
            <w:r w:rsidR="002C39C2" w:rsidRPr="002E0B0F">
              <w:t>concerning respon</w:t>
            </w:r>
            <w:r>
              <w:t>ses</w:t>
            </w:r>
            <w:r w:rsidR="002C39C2" w:rsidRPr="002E0B0F">
              <w:t xml:space="preserve"> to </w:t>
            </w:r>
            <w:r>
              <w:t xml:space="preserve">access </w:t>
            </w:r>
            <w:r w:rsidR="002C39C2" w:rsidRPr="002E0B0F">
              <w:t>requests.</w:t>
            </w:r>
          </w:p>
          <w:p w14:paraId="3CEFAA13" w14:textId="77777777" w:rsidR="002C39C2" w:rsidRPr="002E0B0F" w:rsidRDefault="002C39C2" w:rsidP="007E04AA">
            <w:pPr>
              <w:pStyle w:val="ListParagraph"/>
              <w:numPr>
                <w:ilvl w:val="0"/>
                <w:numId w:val="28"/>
              </w:numPr>
              <w:spacing w:after="0" w:line="240" w:lineRule="auto"/>
            </w:pPr>
            <w:r w:rsidRPr="002E0B0F">
              <w:t>Interaction with the OIPC for reviews, as between the parties, is specified as to roles and responsibilities concerning this interaction.</w:t>
            </w:r>
          </w:p>
        </w:tc>
        <w:tc>
          <w:tcPr>
            <w:tcW w:w="264" w:type="pct"/>
            <w:vAlign w:val="center"/>
          </w:tcPr>
          <w:p w14:paraId="515C739E" w14:textId="77777777" w:rsidR="002C39C2" w:rsidRPr="002E0B0F" w:rsidRDefault="002C39C2" w:rsidP="00CE0777">
            <w:pPr>
              <w:spacing w:after="0" w:line="240" w:lineRule="auto"/>
            </w:pPr>
          </w:p>
        </w:tc>
        <w:tc>
          <w:tcPr>
            <w:tcW w:w="842" w:type="pct"/>
            <w:vAlign w:val="center"/>
          </w:tcPr>
          <w:p w14:paraId="62CC50A2" w14:textId="77777777" w:rsidR="002C39C2" w:rsidRPr="002E0B0F" w:rsidRDefault="002C39C2" w:rsidP="00CE0777">
            <w:pPr>
              <w:spacing w:after="0" w:line="240" w:lineRule="auto"/>
            </w:pPr>
          </w:p>
        </w:tc>
      </w:tr>
      <w:tr w:rsidR="001A79D8" w:rsidRPr="002E0B0F" w14:paraId="75A1414B" w14:textId="77777777" w:rsidTr="00D47BD8">
        <w:trPr>
          <w:cantSplit/>
          <w:jc w:val="center"/>
        </w:trPr>
        <w:tc>
          <w:tcPr>
            <w:tcW w:w="341" w:type="pct"/>
            <w:vMerge/>
            <w:shd w:val="clear" w:color="auto" w:fill="EAE2DD" w:themeFill="background2"/>
          </w:tcPr>
          <w:p w14:paraId="17514046"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231B7148" w14:textId="77777777" w:rsidR="002C39C2" w:rsidRPr="002E0B0F" w:rsidRDefault="002C39C2" w:rsidP="00DF3835">
            <w:pPr>
              <w:spacing w:after="0" w:line="240" w:lineRule="auto"/>
            </w:pPr>
            <w:r w:rsidRPr="002E0B0F">
              <w:t>The contract requires the service provider to cooperate with the public body for any access to information or correction requests received by the public body, including requests made for information, other than just for personal information, that may be subject to the right of access under ATIA.</w:t>
            </w:r>
          </w:p>
        </w:tc>
        <w:tc>
          <w:tcPr>
            <w:tcW w:w="264" w:type="pct"/>
            <w:vAlign w:val="center"/>
          </w:tcPr>
          <w:p w14:paraId="6ED5A54E" w14:textId="77777777" w:rsidR="002C39C2" w:rsidRPr="002E0B0F" w:rsidRDefault="002C39C2" w:rsidP="00CE0777">
            <w:pPr>
              <w:spacing w:after="0" w:line="240" w:lineRule="auto"/>
            </w:pPr>
          </w:p>
        </w:tc>
        <w:tc>
          <w:tcPr>
            <w:tcW w:w="842" w:type="pct"/>
            <w:vAlign w:val="center"/>
          </w:tcPr>
          <w:p w14:paraId="15338C7D" w14:textId="77777777" w:rsidR="002C39C2" w:rsidRPr="002E0B0F" w:rsidRDefault="002C39C2" w:rsidP="00CE0777">
            <w:pPr>
              <w:spacing w:after="0" w:line="240" w:lineRule="auto"/>
            </w:pPr>
          </w:p>
        </w:tc>
      </w:tr>
      <w:tr w:rsidR="001A79D8" w:rsidRPr="002E0B0F" w14:paraId="22560F17" w14:textId="77777777" w:rsidTr="00D47BD8">
        <w:trPr>
          <w:cantSplit/>
          <w:trHeight w:val="1134"/>
          <w:jc w:val="center"/>
        </w:trPr>
        <w:tc>
          <w:tcPr>
            <w:tcW w:w="341" w:type="pct"/>
            <w:shd w:val="clear" w:color="auto" w:fill="EAE2DD" w:themeFill="background2"/>
            <w:textDirection w:val="btLr"/>
            <w:vAlign w:val="center"/>
          </w:tcPr>
          <w:p w14:paraId="4652C8B1" w14:textId="77777777" w:rsidR="002C39C2" w:rsidRPr="00054ECA" w:rsidRDefault="002C39C2" w:rsidP="00DF3835">
            <w:pPr>
              <w:spacing w:after="0" w:line="240" w:lineRule="auto"/>
              <w:ind w:left="113" w:right="113"/>
              <w:jc w:val="center"/>
            </w:pPr>
            <w:r w:rsidRPr="00F773FE">
              <w:rPr>
                <w:sz w:val="24"/>
                <w:szCs w:val="24"/>
              </w:rPr>
              <w:t>Safeguards and Retention</w:t>
            </w:r>
          </w:p>
        </w:tc>
        <w:tc>
          <w:tcPr>
            <w:tcW w:w="3553" w:type="pct"/>
            <w:shd w:val="clear" w:color="auto" w:fill="FFFFFF"/>
            <w:tcMar>
              <w:top w:w="75" w:type="dxa"/>
              <w:left w:w="75" w:type="dxa"/>
              <w:bottom w:w="75" w:type="dxa"/>
              <w:right w:w="75" w:type="dxa"/>
            </w:tcMar>
          </w:tcPr>
          <w:p w14:paraId="70E9FE3F" w14:textId="77777777" w:rsidR="002C39C2" w:rsidRPr="002E0B0F" w:rsidRDefault="002C39C2" w:rsidP="00DF3835">
            <w:pPr>
              <w:spacing w:after="0" w:line="240" w:lineRule="auto"/>
            </w:pPr>
            <w:r w:rsidRPr="002E0B0F">
              <w:rPr>
                <w:b/>
                <w:bCs/>
              </w:rPr>
              <w:t xml:space="preserve">Protection of personal information </w:t>
            </w:r>
            <w:r w:rsidRPr="002E0B0F">
              <w:t xml:space="preserve">(POPA sections 10, 20, 25(2) and </w:t>
            </w:r>
            <w:r>
              <w:t>M-</w:t>
            </w:r>
            <w:r w:rsidRPr="002E0B0F">
              <w:t>Regulation section 7)</w:t>
            </w:r>
          </w:p>
          <w:p w14:paraId="5BCBAFD2" w14:textId="77777777" w:rsidR="002C39C2" w:rsidRPr="002E0B0F" w:rsidRDefault="002C39C2" w:rsidP="00DF3835">
            <w:pPr>
              <w:spacing w:after="0" w:line="240" w:lineRule="auto"/>
            </w:pPr>
            <w:r w:rsidRPr="002E0B0F">
              <w:t>The contract requires the service provider to implement reasonable security arrangements to protect the personal information, which arrangements must, at minimum, meet the requirements of the public body’s administrative, technical and physical safeguards and its security classification system, as set out in its PMP, and in accordance with POPA and section 7 of the M</w:t>
            </w:r>
            <w:r>
              <w:t>-</w:t>
            </w:r>
            <w:r w:rsidRPr="002E0B0F">
              <w:t>Regulation.</w:t>
            </w:r>
          </w:p>
          <w:p w14:paraId="3024EBB9" w14:textId="77777777" w:rsidR="002C39C2" w:rsidRPr="002E0B0F" w:rsidRDefault="002C39C2" w:rsidP="00DF3835">
            <w:pPr>
              <w:spacing w:after="0" w:line="240" w:lineRule="auto"/>
            </w:pPr>
            <w:r w:rsidRPr="002E0B0F">
              <w:rPr>
                <w:b/>
                <w:bCs/>
              </w:rPr>
              <w:t>Note</w:t>
            </w:r>
            <w:r w:rsidRPr="002E0B0F">
              <w:t xml:space="preserve">: The public body must </w:t>
            </w:r>
            <w:proofErr w:type="gramStart"/>
            <w:r w:rsidRPr="002E0B0F">
              <w:t>make an assessment of</w:t>
            </w:r>
            <w:proofErr w:type="gramEnd"/>
            <w:r w:rsidRPr="002E0B0F">
              <w:t xml:space="preserve"> the service provider’s security policies and procedures to ensure they meet this threshold if the service provider does not adopt the public body’s security policies and procedures for protecting the personal information.</w:t>
            </w:r>
          </w:p>
        </w:tc>
        <w:tc>
          <w:tcPr>
            <w:tcW w:w="264" w:type="pct"/>
            <w:vAlign w:val="center"/>
          </w:tcPr>
          <w:p w14:paraId="1373E948" w14:textId="77777777" w:rsidR="002C39C2" w:rsidRPr="002E0B0F" w:rsidRDefault="002C39C2" w:rsidP="00CE0777">
            <w:pPr>
              <w:spacing w:after="0" w:line="240" w:lineRule="auto"/>
            </w:pPr>
          </w:p>
        </w:tc>
        <w:tc>
          <w:tcPr>
            <w:tcW w:w="842" w:type="pct"/>
            <w:vAlign w:val="center"/>
          </w:tcPr>
          <w:p w14:paraId="60C93729" w14:textId="77777777" w:rsidR="002C39C2" w:rsidRPr="002E0B0F" w:rsidRDefault="002C39C2" w:rsidP="00CE0777">
            <w:pPr>
              <w:spacing w:after="0" w:line="240" w:lineRule="auto"/>
            </w:pPr>
          </w:p>
        </w:tc>
      </w:tr>
      <w:tr w:rsidR="001A79D8" w:rsidRPr="002E0B0F" w14:paraId="3D8230EA" w14:textId="77777777" w:rsidTr="00D47BD8">
        <w:trPr>
          <w:cantSplit/>
          <w:jc w:val="center"/>
        </w:trPr>
        <w:tc>
          <w:tcPr>
            <w:tcW w:w="341" w:type="pct"/>
            <w:vMerge w:val="restart"/>
            <w:shd w:val="clear" w:color="auto" w:fill="EAE2DD" w:themeFill="background2"/>
            <w:textDirection w:val="btLr"/>
            <w:vAlign w:val="center"/>
          </w:tcPr>
          <w:p w14:paraId="5A8DAE1C" w14:textId="77777777" w:rsidR="002C39C2" w:rsidRPr="00054ECA" w:rsidRDefault="002C39C2" w:rsidP="00DF3835">
            <w:pPr>
              <w:spacing w:after="0" w:line="240" w:lineRule="auto"/>
              <w:ind w:left="113" w:right="113"/>
              <w:jc w:val="center"/>
              <w:rPr>
                <w:b/>
                <w:bCs/>
              </w:rPr>
            </w:pPr>
            <w:r w:rsidRPr="00F773FE">
              <w:rPr>
                <w:sz w:val="24"/>
                <w:szCs w:val="24"/>
              </w:rPr>
              <w:lastRenderedPageBreak/>
              <w:t>Safeguards and Retention</w:t>
            </w:r>
          </w:p>
        </w:tc>
        <w:tc>
          <w:tcPr>
            <w:tcW w:w="3553" w:type="pct"/>
            <w:shd w:val="clear" w:color="auto" w:fill="FFFFFF"/>
            <w:tcMar>
              <w:top w:w="75" w:type="dxa"/>
              <w:left w:w="75" w:type="dxa"/>
              <w:bottom w:w="75" w:type="dxa"/>
              <w:right w:w="75" w:type="dxa"/>
            </w:tcMar>
          </w:tcPr>
          <w:p w14:paraId="085D5053" w14:textId="77777777" w:rsidR="002C39C2" w:rsidRPr="002E0B0F" w:rsidRDefault="002C39C2" w:rsidP="00DF3835">
            <w:pPr>
              <w:spacing w:after="0" w:line="240" w:lineRule="auto"/>
              <w:rPr>
                <w:b/>
                <w:bCs/>
              </w:rPr>
            </w:pPr>
            <w:r w:rsidRPr="002E0B0F">
              <w:rPr>
                <w:b/>
                <w:bCs/>
              </w:rPr>
              <w:t xml:space="preserve">Retention of records or personal information </w:t>
            </w:r>
            <w:r w:rsidRPr="002E0B0F">
              <w:t>(POPA sections 6 and 18(1))</w:t>
            </w:r>
          </w:p>
          <w:p w14:paraId="7EDF460F" w14:textId="77777777" w:rsidR="002C39C2" w:rsidRPr="002E0B0F" w:rsidRDefault="002C39C2" w:rsidP="00DF3835">
            <w:pPr>
              <w:spacing w:after="0" w:line="240" w:lineRule="auto"/>
            </w:pPr>
            <w:r w:rsidRPr="002E0B0F">
              <w:t xml:space="preserve">The contract specifies the retention and disposal requirements that the service provider must adhere to for records or personal information, including data derived from personal information and non-personal data, including the minimum and maximum retention period and the secure disposal methods to be used. </w:t>
            </w:r>
          </w:p>
          <w:p w14:paraId="568F9958" w14:textId="77777777" w:rsidR="002C39C2" w:rsidRPr="002E0B0F" w:rsidRDefault="002C39C2" w:rsidP="00DF3835">
            <w:pPr>
              <w:spacing w:after="0" w:line="240" w:lineRule="auto"/>
            </w:pPr>
            <w:r w:rsidRPr="002E0B0F">
              <w:t xml:space="preserve">Note: When personal information is used to </w:t>
            </w:r>
            <w:proofErr w:type="gramStart"/>
            <w:r w:rsidRPr="002E0B0F">
              <w:t>make a decision</w:t>
            </w:r>
            <w:proofErr w:type="gramEnd"/>
            <w:r w:rsidRPr="002E0B0F">
              <w:t xml:space="preserve"> about an individual there are specific retention requirements (see Accuracy of personal information).</w:t>
            </w:r>
          </w:p>
        </w:tc>
        <w:tc>
          <w:tcPr>
            <w:tcW w:w="264" w:type="pct"/>
            <w:vAlign w:val="center"/>
          </w:tcPr>
          <w:p w14:paraId="5DFAB463" w14:textId="77777777" w:rsidR="002C39C2" w:rsidRPr="002E0B0F" w:rsidRDefault="002C39C2" w:rsidP="00CE0777">
            <w:pPr>
              <w:spacing w:after="0" w:line="240" w:lineRule="auto"/>
            </w:pPr>
          </w:p>
        </w:tc>
        <w:tc>
          <w:tcPr>
            <w:tcW w:w="842" w:type="pct"/>
            <w:vAlign w:val="center"/>
          </w:tcPr>
          <w:p w14:paraId="75E7179F" w14:textId="77777777" w:rsidR="002C39C2" w:rsidRPr="002E0B0F" w:rsidRDefault="002C39C2" w:rsidP="00CE0777">
            <w:pPr>
              <w:spacing w:after="0" w:line="240" w:lineRule="auto"/>
            </w:pPr>
          </w:p>
        </w:tc>
      </w:tr>
      <w:tr w:rsidR="001A79D8" w:rsidRPr="002E0B0F" w14:paraId="6D44769B" w14:textId="77777777" w:rsidTr="00D47BD8">
        <w:trPr>
          <w:cantSplit/>
          <w:jc w:val="center"/>
        </w:trPr>
        <w:tc>
          <w:tcPr>
            <w:tcW w:w="341" w:type="pct"/>
            <w:vMerge/>
            <w:shd w:val="clear" w:color="auto" w:fill="EAE2DD" w:themeFill="background2"/>
          </w:tcPr>
          <w:p w14:paraId="469B481D"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hideMark/>
          </w:tcPr>
          <w:p w14:paraId="4E2A68D6" w14:textId="77777777" w:rsidR="002C39C2" w:rsidRPr="002E0B0F" w:rsidRDefault="002C39C2" w:rsidP="00DF3835">
            <w:pPr>
              <w:spacing w:after="0" w:line="240" w:lineRule="auto"/>
            </w:pPr>
            <w:r w:rsidRPr="002E0B0F">
              <w:t>The contract specifies the conditions governing the disposition of any records containing personal information and sets out a certification process.</w:t>
            </w:r>
          </w:p>
        </w:tc>
        <w:tc>
          <w:tcPr>
            <w:tcW w:w="264" w:type="pct"/>
            <w:vAlign w:val="center"/>
          </w:tcPr>
          <w:p w14:paraId="4C04AD96" w14:textId="77777777" w:rsidR="002C39C2" w:rsidRPr="002E0B0F" w:rsidRDefault="002C39C2" w:rsidP="00CE0777">
            <w:pPr>
              <w:spacing w:after="0" w:line="240" w:lineRule="auto"/>
            </w:pPr>
          </w:p>
        </w:tc>
        <w:tc>
          <w:tcPr>
            <w:tcW w:w="842" w:type="pct"/>
            <w:vAlign w:val="center"/>
          </w:tcPr>
          <w:p w14:paraId="6A843725" w14:textId="77777777" w:rsidR="002C39C2" w:rsidRPr="002E0B0F" w:rsidRDefault="002C39C2" w:rsidP="00CE0777">
            <w:pPr>
              <w:spacing w:after="0" w:line="240" w:lineRule="auto"/>
            </w:pPr>
          </w:p>
        </w:tc>
      </w:tr>
      <w:tr w:rsidR="001A79D8" w:rsidRPr="002E0B0F" w14:paraId="2A9E43D3" w14:textId="77777777" w:rsidTr="00D47BD8">
        <w:trPr>
          <w:cantSplit/>
          <w:jc w:val="center"/>
        </w:trPr>
        <w:tc>
          <w:tcPr>
            <w:tcW w:w="341" w:type="pct"/>
            <w:vMerge/>
            <w:shd w:val="clear" w:color="auto" w:fill="EAE2DD" w:themeFill="background2"/>
          </w:tcPr>
          <w:p w14:paraId="76871549"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374890D3" w14:textId="77777777" w:rsidR="002C39C2" w:rsidRPr="002E0B0F" w:rsidRDefault="002C39C2" w:rsidP="00DF3835">
            <w:pPr>
              <w:spacing w:after="0" w:line="240" w:lineRule="auto"/>
            </w:pPr>
            <w:r w:rsidRPr="002E0B0F">
              <w:t>The contract specifies retention requirements for audit logs that are long enough for any investigations undertaken by the service provider, public body, and the OIPC concerning the duties of the service provider and their employees or subcontractors under the contract as they relate to the collection, use, disclosure, security and management of the personal information as set out in the contract.</w:t>
            </w:r>
          </w:p>
        </w:tc>
        <w:tc>
          <w:tcPr>
            <w:tcW w:w="264" w:type="pct"/>
            <w:vAlign w:val="center"/>
          </w:tcPr>
          <w:p w14:paraId="75E8B981" w14:textId="77777777" w:rsidR="002C39C2" w:rsidRPr="002E0B0F" w:rsidRDefault="002C39C2" w:rsidP="00CE0777">
            <w:pPr>
              <w:spacing w:after="0" w:line="240" w:lineRule="auto"/>
            </w:pPr>
          </w:p>
        </w:tc>
        <w:tc>
          <w:tcPr>
            <w:tcW w:w="842" w:type="pct"/>
            <w:vAlign w:val="center"/>
          </w:tcPr>
          <w:p w14:paraId="7C21754F" w14:textId="77777777" w:rsidR="002C39C2" w:rsidRPr="002E0B0F" w:rsidRDefault="002C39C2" w:rsidP="00CE0777">
            <w:pPr>
              <w:spacing w:after="0" w:line="240" w:lineRule="auto"/>
            </w:pPr>
          </w:p>
        </w:tc>
      </w:tr>
      <w:tr w:rsidR="001A79D8" w:rsidRPr="002E0B0F" w14:paraId="2A656751" w14:textId="77777777" w:rsidTr="00D47BD8">
        <w:trPr>
          <w:cantSplit/>
          <w:jc w:val="center"/>
        </w:trPr>
        <w:tc>
          <w:tcPr>
            <w:tcW w:w="341" w:type="pct"/>
            <w:vMerge/>
            <w:shd w:val="clear" w:color="auto" w:fill="EAE2DD" w:themeFill="background2"/>
          </w:tcPr>
          <w:p w14:paraId="149CAD54" w14:textId="77777777" w:rsidR="002C39C2" w:rsidRPr="00054ECA" w:rsidRDefault="002C39C2" w:rsidP="00DF3835">
            <w:pPr>
              <w:spacing w:after="0" w:line="240" w:lineRule="auto"/>
              <w:rPr>
                <w:b/>
                <w:bCs/>
              </w:rPr>
            </w:pPr>
          </w:p>
        </w:tc>
        <w:tc>
          <w:tcPr>
            <w:tcW w:w="3553" w:type="pct"/>
            <w:shd w:val="clear" w:color="auto" w:fill="FFFFFF"/>
            <w:tcMar>
              <w:top w:w="75" w:type="dxa"/>
              <w:left w:w="75" w:type="dxa"/>
              <w:bottom w:w="75" w:type="dxa"/>
              <w:right w:w="75" w:type="dxa"/>
            </w:tcMar>
          </w:tcPr>
          <w:p w14:paraId="59B2216B" w14:textId="77777777" w:rsidR="002C39C2" w:rsidRPr="002E0B0F" w:rsidRDefault="002C39C2" w:rsidP="00DF3835">
            <w:pPr>
              <w:spacing w:after="0" w:line="240" w:lineRule="auto"/>
              <w:rPr>
                <w:b/>
                <w:bCs/>
              </w:rPr>
            </w:pPr>
            <w:r w:rsidRPr="002E0B0F">
              <w:rPr>
                <w:b/>
                <w:bCs/>
              </w:rPr>
              <w:t>Downstream adherence to the contract</w:t>
            </w:r>
          </w:p>
          <w:p w14:paraId="21B8DEAA" w14:textId="77777777" w:rsidR="002C39C2" w:rsidRPr="002E0B0F" w:rsidRDefault="002C39C2" w:rsidP="00DF3835">
            <w:pPr>
              <w:spacing w:after="0" w:line="240" w:lineRule="auto"/>
            </w:pPr>
            <w:r w:rsidRPr="002E0B0F">
              <w:t xml:space="preserve">The contract requires all employees to sign a confidentiality agreement that ensures the service provider’s compliance with its duties under the contract and with POPA and ATIA. </w:t>
            </w:r>
          </w:p>
        </w:tc>
        <w:tc>
          <w:tcPr>
            <w:tcW w:w="264" w:type="pct"/>
            <w:vAlign w:val="center"/>
          </w:tcPr>
          <w:p w14:paraId="4C42DC99" w14:textId="77777777" w:rsidR="002C39C2" w:rsidRPr="002E0B0F" w:rsidRDefault="002C39C2" w:rsidP="00CE0777">
            <w:pPr>
              <w:spacing w:after="0" w:line="240" w:lineRule="auto"/>
            </w:pPr>
          </w:p>
        </w:tc>
        <w:tc>
          <w:tcPr>
            <w:tcW w:w="842" w:type="pct"/>
            <w:vAlign w:val="center"/>
          </w:tcPr>
          <w:p w14:paraId="3C15C64E" w14:textId="77777777" w:rsidR="002C39C2" w:rsidRPr="002E0B0F" w:rsidRDefault="002C39C2" w:rsidP="00CE0777">
            <w:pPr>
              <w:spacing w:after="0" w:line="240" w:lineRule="auto"/>
            </w:pPr>
          </w:p>
        </w:tc>
      </w:tr>
      <w:tr w:rsidR="001A79D8" w:rsidRPr="002E0B0F" w14:paraId="1B4274B8" w14:textId="77777777" w:rsidTr="00D47BD8">
        <w:trPr>
          <w:cantSplit/>
          <w:jc w:val="center"/>
        </w:trPr>
        <w:tc>
          <w:tcPr>
            <w:tcW w:w="341" w:type="pct"/>
            <w:vMerge/>
            <w:shd w:val="clear" w:color="auto" w:fill="EAE2DD" w:themeFill="background2"/>
          </w:tcPr>
          <w:p w14:paraId="0F39651F"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27E90FCF" w14:textId="77777777" w:rsidR="002C39C2" w:rsidRPr="002E0B0F" w:rsidRDefault="002C39C2" w:rsidP="00DF3835">
            <w:pPr>
              <w:spacing w:after="0" w:line="240" w:lineRule="auto"/>
            </w:pPr>
            <w:r w:rsidRPr="002E0B0F">
              <w:t xml:space="preserve">The contract requires the service provider to bind any subcontractors used in providing the service to the requirements of the service provider in the contract as it relates to the personal information. </w:t>
            </w:r>
          </w:p>
        </w:tc>
        <w:tc>
          <w:tcPr>
            <w:tcW w:w="264" w:type="pct"/>
            <w:vAlign w:val="center"/>
          </w:tcPr>
          <w:p w14:paraId="33103EDC" w14:textId="77777777" w:rsidR="002C39C2" w:rsidRPr="002E0B0F" w:rsidRDefault="002C39C2" w:rsidP="00CE0777">
            <w:pPr>
              <w:spacing w:after="0" w:line="240" w:lineRule="auto"/>
            </w:pPr>
          </w:p>
        </w:tc>
        <w:tc>
          <w:tcPr>
            <w:tcW w:w="842" w:type="pct"/>
            <w:vAlign w:val="center"/>
          </w:tcPr>
          <w:p w14:paraId="11483C6A" w14:textId="77777777" w:rsidR="002C39C2" w:rsidRPr="002E0B0F" w:rsidRDefault="002C39C2" w:rsidP="00CE0777">
            <w:pPr>
              <w:spacing w:after="0" w:line="240" w:lineRule="auto"/>
            </w:pPr>
          </w:p>
        </w:tc>
      </w:tr>
      <w:tr w:rsidR="001A79D8" w:rsidRPr="002E0B0F" w14:paraId="408C3A00" w14:textId="77777777" w:rsidTr="00D47BD8">
        <w:trPr>
          <w:cantSplit/>
          <w:jc w:val="center"/>
        </w:trPr>
        <w:tc>
          <w:tcPr>
            <w:tcW w:w="341" w:type="pct"/>
            <w:vMerge/>
            <w:shd w:val="clear" w:color="auto" w:fill="EAE2DD" w:themeFill="background2"/>
          </w:tcPr>
          <w:p w14:paraId="5F8471E3"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7711F065" w14:textId="77777777" w:rsidR="002C39C2" w:rsidRPr="002E0B0F" w:rsidRDefault="002C39C2" w:rsidP="00DF3835">
            <w:pPr>
              <w:spacing w:after="0" w:line="240" w:lineRule="auto"/>
            </w:pPr>
            <w:r w:rsidRPr="002E0B0F">
              <w:t>The contract requires the service provider to train all its employees and any subcontractors who will have access to the personal information on the service providers duties under the contract as it relates to the personal information and for its obligations under POPA.</w:t>
            </w:r>
          </w:p>
          <w:p w14:paraId="06405838" w14:textId="77777777" w:rsidR="002C39C2" w:rsidRPr="002E0B0F" w:rsidRDefault="002C39C2" w:rsidP="00DF3835">
            <w:pPr>
              <w:spacing w:after="0" w:line="240" w:lineRule="auto"/>
            </w:pPr>
            <w:r w:rsidRPr="002E0B0F">
              <w:t>The contract requires retraining to occur on an annual basis.</w:t>
            </w:r>
          </w:p>
          <w:p w14:paraId="6D8503D4" w14:textId="77777777" w:rsidR="002C39C2" w:rsidRPr="002E0B0F" w:rsidRDefault="002C39C2" w:rsidP="00DF3835">
            <w:pPr>
              <w:spacing w:after="0" w:line="240" w:lineRule="auto"/>
              <w:rPr>
                <w:b/>
                <w:bCs/>
              </w:rPr>
            </w:pPr>
            <w:r w:rsidRPr="002E0B0F">
              <w:t>The contact requires the service provider to inform the public body in writing when this training occurs and to whom it was given and when.</w:t>
            </w:r>
          </w:p>
        </w:tc>
        <w:tc>
          <w:tcPr>
            <w:tcW w:w="264" w:type="pct"/>
            <w:vAlign w:val="center"/>
          </w:tcPr>
          <w:p w14:paraId="22F0D1A8" w14:textId="77777777" w:rsidR="002C39C2" w:rsidRPr="002E0B0F" w:rsidRDefault="002C39C2" w:rsidP="00CE0777">
            <w:pPr>
              <w:spacing w:after="0" w:line="240" w:lineRule="auto"/>
            </w:pPr>
          </w:p>
        </w:tc>
        <w:tc>
          <w:tcPr>
            <w:tcW w:w="842" w:type="pct"/>
            <w:vAlign w:val="center"/>
          </w:tcPr>
          <w:p w14:paraId="0BA7D467" w14:textId="77777777" w:rsidR="002C39C2" w:rsidRPr="002E0B0F" w:rsidRDefault="002C39C2" w:rsidP="00CE0777">
            <w:pPr>
              <w:spacing w:after="0" w:line="240" w:lineRule="auto"/>
            </w:pPr>
          </w:p>
        </w:tc>
      </w:tr>
      <w:tr w:rsidR="001A79D8" w:rsidRPr="002E0B0F" w14:paraId="3E2EC827" w14:textId="77777777" w:rsidTr="00D47BD8">
        <w:trPr>
          <w:cantSplit/>
          <w:jc w:val="center"/>
        </w:trPr>
        <w:tc>
          <w:tcPr>
            <w:tcW w:w="341" w:type="pct"/>
            <w:vMerge/>
            <w:shd w:val="clear" w:color="auto" w:fill="EAE2DD" w:themeFill="background2"/>
          </w:tcPr>
          <w:p w14:paraId="5E99EFE2"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5294A1CB" w14:textId="77777777" w:rsidR="002C39C2" w:rsidRPr="002E0B0F" w:rsidRDefault="002C39C2" w:rsidP="00DF3835">
            <w:pPr>
              <w:spacing w:after="0" w:line="240" w:lineRule="auto"/>
            </w:pPr>
            <w:r w:rsidRPr="002E0B0F">
              <w:t>The contract requires the service provider to provide the public body with a copy of its training material including any updates.</w:t>
            </w:r>
          </w:p>
        </w:tc>
        <w:tc>
          <w:tcPr>
            <w:tcW w:w="264" w:type="pct"/>
            <w:vAlign w:val="center"/>
          </w:tcPr>
          <w:p w14:paraId="2B0FC9C8" w14:textId="77777777" w:rsidR="002C39C2" w:rsidRPr="002E0B0F" w:rsidRDefault="002C39C2" w:rsidP="00CE0777">
            <w:pPr>
              <w:spacing w:after="0" w:line="240" w:lineRule="auto"/>
            </w:pPr>
          </w:p>
        </w:tc>
        <w:tc>
          <w:tcPr>
            <w:tcW w:w="842" w:type="pct"/>
            <w:vAlign w:val="center"/>
          </w:tcPr>
          <w:p w14:paraId="17BCB9C0" w14:textId="77777777" w:rsidR="002C39C2" w:rsidRPr="002E0B0F" w:rsidRDefault="002C39C2" w:rsidP="00CE0777">
            <w:pPr>
              <w:spacing w:after="0" w:line="240" w:lineRule="auto"/>
            </w:pPr>
          </w:p>
        </w:tc>
      </w:tr>
      <w:tr w:rsidR="001A79D8" w:rsidRPr="002E0B0F" w14:paraId="35B8158F" w14:textId="77777777" w:rsidTr="00D47BD8">
        <w:trPr>
          <w:cantSplit/>
          <w:jc w:val="center"/>
        </w:trPr>
        <w:tc>
          <w:tcPr>
            <w:tcW w:w="341" w:type="pct"/>
            <w:vMerge/>
            <w:shd w:val="clear" w:color="auto" w:fill="EAE2DD" w:themeFill="background2"/>
          </w:tcPr>
          <w:p w14:paraId="23C14BFF" w14:textId="77777777" w:rsidR="002C39C2" w:rsidRPr="00054ECA" w:rsidRDefault="002C39C2" w:rsidP="00DF3835">
            <w:pPr>
              <w:spacing w:after="0" w:line="240" w:lineRule="auto"/>
              <w:rPr>
                <w:b/>
                <w:bCs/>
              </w:rPr>
            </w:pPr>
          </w:p>
        </w:tc>
        <w:tc>
          <w:tcPr>
            <w:tcW w:w="3553" w:type="pct"/>
            <w:shd w:val="clear" w:color="auto" w:fill="FFFFFF"/>
            <w:tcMar>
              <w:top w:w="75" w:type="dxa"/>
              <w:left w:w="75" w:type="dxa"/>
              <w:bottom w:w="75" w:type="dxa"/>
              <w:right w:w="75" w:type="dxa"/>
            </w:tcMar>
          </w:tcPr>
          <w:p w14:paraId="498D4895" w14:textId="77777777" w:rsidR="002C39C2" w:rsidRPr="002E0B0F" w:rsidRDefault="002C39C2" w:rsidP="00DF3835">
            <w:pPr>
              <w:spacing w:after="0" w:line="240" w:lineRule="auto"/>
            </w:pPr>
            <w:r w:rsidRPr="002E0B0F">
              <w:rPr>
                <w:b/>
                <w:bCs/>
              </w:rPr>
              <w:t xml:space="preserve">Privacy and security assessments </w:t>
            </w:r>
            <w:r w:rsidRPr="002E0B0F">
              <w:t>(POPA sections 10 and 26, section 1(1)(c) of the Regulation, and sections 2, 3 and 7 of the M</w:t>
            </w:r>
            <w:r>
              <w:t>-</w:t>
            </w:r>
            <w:r w:rsidRPr="002E0B0F">
              <w:t>Reg</w:t>
            </w:r>
            <w:r>
              <w:t>ulation.</w:t>
            </w:r>
          </w:p>
          <w:p w14:paraId="4C2658E4" w14:textId="77777777" w:rsidR="002C39C2" w:rsidRPr="002E0B0F" w:rsidRDefault="002C39C2" w:rsidP="00DF3835">
            <w:pPr>
              <w:spacing w:after="0" w:line="240" w:lineRule="auto"/>
            </w:pPr>
            <w:r w:rsidRPr="002E0B0F">
              <w:t>The contract requires the service provider to cooperate in the development and any updating of any PIAs required to be created under POPA by the public body and for any required to be submitted to the OIPC for review.</w:t>
            </w:r>
          </w:p>
          <w:p w14:paraId="762CF7B8" w14:textId="440D9628" w:rsidR="00052E62" w:rsidRPr="002E0B0F" w:rsidRDefault="002C39C2" w:rsidP="00DF3835">
            <w:pPr>
              <w:spacing w:after="0" w:line="240" w:lineRule="auto"/>
            </w:pPr>
            <w:r w:rsidRPr="002E0B0F">
              <w:t>The contract requires the service provider to cooperate in a review of a PIA conducted by the OIPC</w:t>
            </w:r>
            <w:r w:rsidR="00052E62">
              <w:t>.</w:t>
            </w:r>
          </w:p>
        </w:tc>
        <w:tc>
          <w:tcPr>
            <w:tcW w:w="264" w:type="pct"/>
            <w:vAlign w:val="center"/>
          </w:tcPr>
          <w:p w14:paraId="36284654" w14:textId="77777777" w:rsidR="002C39C2" w:rsidRPr="002E0B0F" w:rsidRDefault="002C39C2" w:rsidP="00CE0777">
            <w:pPr>
              <w:spacing w:after="0" w:line="240" w:lineRule="auto"/>
            </w:pPr>
          </w:p>
        </w:tc>
        <w:tc>
          <w:tcPr>
            <w:tcW w:w="842" w:type="pct"/>
            <w:vAlign w:val="center"/>
          </w:tcPr>
          <w:p w14:paraId="421EE15A" w14:textId="77777777" w:rsidR="002C39C2" w:rsidRPr="002E0B0F" w:rsidRDefault="002C39C2" w:rsidP="00CE0777">
            <w:pPr>
              <w:spacing w:after="0" w:line="240" w:lineRule="auto"/>
            </w:pPr>
          </w:p>
        </w:tc>
      </w:tr>
      <w:tr w:rsidR="001A79D8" w:rsidRPr="002E0B0F" w14:paraId="7A05B54F" w14:textId="77777777" w:rsidTr="00D47BD8">
        <w:trPr>
          <w:cantSplit/>
          <w:jc w:val="center"/>
        </w:trPr>
        <w:tc>
          <w:tcPr>
            <w:tcW w:w="341" w:type="pct"/>
            <w:vMerge/>
            <w:shd w:val="clear" w:color="auto" w:fill="EAE2DD" w:themeFill="background2"/>
          </w:tcPr>
          <w:p w14:paraId="721FDCF2"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4B6C337D" w14:textId="77777777" w:rsidR="002C39C2" w:rsidRPr="002E0B0F" w:rsidRDefault="002C39C2" w:rsidP="00DF3835">
            <w:pPr>
              <w:spacing w:after="0" w:line="240" w:lineRule="auto"/>
            </w:pPr>
            <w:r w:rsidRPr="002E0B0F">
              <w:t xml:space="preserve">The contract requires the service provider to conduct a security threat risk assessment at intervals specified in the contract, or as requested by the public body, as a measure to satisfy the public body that the personal information will be reasonably protected. </w:t>
            </w:r>
          </w:p>
        </w:tc>
        <w:tc>
          <w:tcPr>
            <w:tcW w:w="264" w:type="pct"/>
            <w:vAlign w:val="center"/>
          </w:tcPr>
          <w:p w14:paraId="11001AC1" w14:textId="77777777" w:rsidR="002C39C2" w:rsidRPr="002E0B0F" w:rsidRDefault="002C39C2" w:rsidP="00CE0777">
            <w:pPr>
              <w:spacing w:after="0" w:line="240" w:lineRule="auto"/>
            </w:pPr>
          </w:p>
        </w:tc>
        <w:tc>
          <w:tcPr>
            <w:tcW w:w="842" w:type="pct"/>
            <w:vAlign w:val="center"/>
          </w:tcPr>
          <w:p w14:paraId="4C0F1782" w14:textId="77777777" w:rsidR="002C39C2" w:rsidRPr="002E0B0F" w:rsidRDefault="002C39C2" w:rsidP="00CE0777">
            <w:pPr>
              <w:spacing w:after="0" w:line="240" w:lineRule="auto"/>
            </w:pPr>
          </w:p>
        </w:tc>
      </w:tr>
      <w:tr w:rsidR="001A79D8" w:rsidRPr="002E0B0F" w14:paraId="53CF702E" w14:textId="77777777" w:rsidTr="00D47BD8">
        <w:trPr>
          <w:cantSplit/>
          <w:jc w:val="center"/>
        </w:trPr>
        <w:tc>
          <w:tcPr>
            <w:tcW w:w="341" w:type="pct"/>
            <w:vMerge w:val="restart"/>
            <w:shd w:val="clear" w:color="auto" w:fill="EAE2DD" w:themeFill="background2"/>
            <w:textDirection w:val="btLr"/>
            <w:vAlign w:val="center"/>
          </w:tcPr>
          <w:p w14:paraId="480984CB" w14:textId="77777777" w:rsidR="002C39C2" w:rsidRPr="00054ECA" w:rsidRDefault="002C39C2" w:rsidP="00DF3835">
            <w:pPr>
              <w:spacing w:after="0" w:line="240" w:lineRule="auto"/>
              <w:ind w:left="113" w:right="113"/>
              <w:jc w:val="center"/>
              <w:rPr>
                <w:b/>
                <w:bCs/>
              </w:rPr>
            </w:pPr>
            <w:r w:rsidRPr="006D77B1">
              <w:rPr>
                <w:sz w:val="24"/>
                <w:szCs w:val="24"/>
              </w:rPr>
              <w:lastRenderedPageBreak/>
              <w:t>Safeguards and Retention</w:t>
            </w:r>
          </w:p>
        </w:tc>
        <w:tc>
          <w:tcPr>
            <w:tcW w:w="3553" w:type="pct"/>
            <w:shd w:val="clear" w:color="auto" w:fill="FFFFFF"/>
            <w:tcMar>
              <w:top w:w="75" w:type="dxa"/>
              <w:left w:w="75" w:type="dxa"/>
              <w:bottom w:w="75" w:type="dxa"/>
              <w:right w:w="75" w:type="dxa"/>
            </w:tcMar>
            <w:hideMark/>
          </w:tcPr>
          <w:p w14:paraId="30384B92" w14:textId="77777777" w:rsidR="002C39C2" w:rsidRPr="002E0B0F" w:rsidRDefault="002C39C2" w:rsidP="00DF3835">
            <w:pPr>
              <w:spacing w:after="0" w:line="240" w:lineRule="auto"/>
            </w:pPr>
            <w:r w:rsidRPr="002E0B0F">
              <w:rPr>
                <w:b/>
                <w:bCs/>
              </w:rPr>
              <w:t xml:space="preserve">Notification of breach </w:t>
            </w:r>
            <w:r w:rsidRPr="002E0B0F">
              <w:t>(POPA section 10(2))</w:t>
            </w:r>
          </w:p>
          <w:p w14:paraId="7AB7E21F" w14:textId="77777777" w:rsidR="002C39C2" w:rsidRPr="002E0B0F" w:rsidRDefault="002C39C2" w:rsidP="00DF3835">
            <w:pPr>
              <w:spacing w:after="0" w:line="240" w:lineRule="auto"/>
            </w:pPr>
            <w:r w:rsidRPr="002E0B0F">
              <w:t xml:space="preserve">“Breach” is defined in the contract as “an incident involving the loss </w:t>
            </w:r>
            <w:proofErr w:type="gramStart"/>
            <w:r w:rsidRPr="002E0B0F">
              <w:t>of,</w:t>
            </w:r>
            <w:proofErr w:type="gramEnd"/>
            <w:r w:rsidRPr="002E0B0F">
              <w:t xml:space="preserve"> unauthorized access to or unauthorized disclosure of personal information”.</w:t>
            </w:r>
          </w:p>
          <w:p w14:paraId="7B6AC767" w14:textId="77777777" w:rsidR="002C39C2" w:rsidRPr="002E0B0F" w:rsidRDefault="002C39C2" w:rsidP="00DF3835">
            <w:pPr>
              <w:spacing w:after="0" w:line="240" w:lineRule="auto"/>
            </w:pPr>
          </w:p>
        </w:tc>
        <w:tc>
          <w:tcPr>
            <w:tcW w:w="264" w:type="pct"/>
            <w:vAlign w:val="center"/>
          </w:tcPr>
          <w:p w14:paraId="4A70BC45" w14:textId="77777777" w:rsidR="002C39C2" w:rsidRPr="002E0B0F" w:rsidRDefault="002C39C2" w:rsidP="00CE0777">
            <w:pPr>
              <w:spacing w:after="0" w:line="240" w:lineRule="auto"/>
            </w:pPr>
          </w:p>
        </w:tc>
        <w:tc>
          <w:tcPr>
            <w:tcW w:w="842" w:type="pct"/>
            <w:vAlign w:val="center"/>
          </w:tcPr>
          <w:p w14:paraId="61F374A9" w14:textId="77777777" w:rsidR="002C39C2" w:rsidRPr="002E0B0F" w:rsidRDefault="002C39C2" w:rsidP="00CE0777">
            <w:pPr>
              <w:spacing w:after="0" w:line="240" w:lineRule="auto"/>
            </w:pPr>
          </w:p>
        </w:tc>
      </w:tr>
      <w:tr w:rsidR="001A79D8" w:rsidRPr="002E0B0F" w14:paraId="6AD6C863" w14:textId="77777777" w:rsidTr="00D47BD8">
        <w:trPr>
          <w:cantSplit/>
          <w:jc w:val="center"/>
        </w:trPr>
        <w:tc>
          <w:tcPr>
            <w:tcW w:w="341" w:type="pct"/>
            <w:vMerge/>
            <w:shd w:val="clear" w:color="auto" w:fill="EAE2DD" w:themeFill="background2"/>
          </w:tcPr>
          <w:p w14:paraId="580F670E" w14:textId="77777777" w:rsidR="002C39C2" w:rsidRPr="00054ECA" w:rsidRDefault="002C39C2" w:rsidP="00DF3835">
            <w:pPr>
              <w:spacing w:after="0" w:line="240" w:lineRule="auto"/>
              <w:rPr>
                <w:b/>
                <w:bCs/>
              </w:rPr>
            </w:pPr>
          </w:p>
        </w:tc>
        <w:tc>
          <w:tcPr>
            <w:tcW w:w="3553" w:type="pct"/>
            <w:shd w:val="clear" w:color="auto" w:fill="FFFFFF"/>
            <w:tcMar>
              <w:top w:w="75" w:type="dxa"/>
              <w:left w:w="75" w:type="dxa"/>
              <w:bottom w:w="75" w:type="dxa"/>
              <w:right w:w="75" w:type="dxa"/>
            </w:tcMar>
          </w:tcPr>
          <w:p w14:paraId="61F175D3" w14:textId="77777777" w:rsidR="002C39C2" w:rsidRPr="002E0B0F" w:rsidRDefault="002C39C2" w:rsidP="00DF3835">
            <w:pPr>
              <w:spacing w:after="0" w:line="240" w:lineRule="auto"/>
            </w:pPr>
            <w:r w:rsidRPr="002E0B0F">
              <w:t xml:space="preserve">The contract specifies what the service provider is to do if there is a breach (unauthorized access to or disclosure of personal information or loss), including: </w:t>
            </w:r>
          </w:p>
          <w:p w14:paraId="07421585" w14:textId="77777777" w:rsidR="002C39C2" w:rsidRPr="002E0B0F" w:rsidRDefault="002C39C2" w:rsidP="002C39C2">
            <w:pPr>
              <w:pStyle w:val="ListParagraph"/>
              <w:numPr>
                <w:ilvl w:val="0"/>
                <w:numId w:val="27"/>
              </w:numPr>
              <w:spacing w:after="0" w:line="240" w:lineRule="auto"/>
            </w:pPr>
            <w:r w:rsidRPr="002E0B0F">
              <w:t xml:space="preserve">the service provider must immediately notify the public body’s Privacy Officer on learning about the </w:t>
            </w:r>
            <w:proofErr w:type="gramStart"/>
            <w:r w:rsidRPr="002E0B0F">
              <w:t>breach;</w:t>
            </w:r>
            <w:proofErr w:type="gramEnd"/>
          </w:p>
          <w:p w14:paraId="0D403815" w14:textId="77777777" w:rsidR="002C39C2" w:rsidRPr="002E0B0F" w:rsidRDefault="002C39C2" w:rsidP="002C39C2">
            <w:pPr>
              <w:pStyle w:val="ListParagraph"/>
              <w:numPr>
                <w:ilvl w:val="0"/>
                <w:numId w:val="27"/>
              </w:numPr>
              <w:spacing w:after="0" w:line="240" w:lineRule="auto"/>
            </w:pPr>
            <w:r w:rsidRPr="002E0B0F">
              <w:t xml:space="preserve">the service provider’s employees and subcontractors must immediately notify the service provider on learning about a </w:t>
            </w:r>
            <w:proofErr w:type="gramStart"/>
            <w:r w:rsidRPr="002E0B0F">
              <w:t>breach;</w:t>
            </w:r>
            <w:proofErr w:type="gramEnd"/>
          </w:p>
          <w:p w14:paraId="73B429E9" w14:textId="77777777" w:rsidR="002C39C2" w:rsidRPr="002E0B0F" w:rsidRDefault="002C39C2" w:rsidP="002C39C2">
            <w:pPr>
              <w:pStyle w:val="ListParagraph"/>
              <w:numPr>
                <w:ilvl w:val="0"/>
                <w:numId w:val="27"/>
              </w:numPr>
              <w:spacing w:after="0" w:line="240" w:lineRule="auto"/>
            </w:pPr>
            <w:r w:rsidRPr="002E0B0F">
              <w:t xml:space="preserve">it must cooperate with the public body on containment and management of the </w:t>
            </w:r>
            <w:proofErr w:type="gramStart"/>
            <w:r w:rsidRPr="002E0B0F">
              <w:t>breach;</w:t>
            </w:r>
            <w:proofErr w:type="gramEnd"/>
          </w:p>
          <w:p w14:paraId="61B8B6E5" w14:textId="77777777" w:rsidR="002C39C2" w:rsidRPr="002E0B0F" w:rsidRDefault="002C39C2" w:rsidP="002C39C2">
            <w:pPr>
              <w:pStyle w:val="ListParagraph"/>
              <w:numPr>
                <w:ilvl w:val="0"/>
                <w:numId w:val="27"/>
              </w:numPr>
              <w:spacing w:after="0" w:line="240" w:lineRule="auto"/>
            </w:pPr>
            <w:r w:rsidRPr="002E0B0F">
              <w:t>it must cooperate with the public body on meeting any of its notice requirements to affected individuals, the Minister and the Commissioner about the breach; and</w:t>
            </w:r>
          </w:p>
          <w:p w14:paraId="064D54B9" w14:textId="77777777" w:rsidR="002C39C2" w:rsidRPr="002E0B0F" w:rsidRDefault="002C39C2" w:rsidP="00DF3835">
            <w:pPr>
              <w:spacing w:after="0" w:line="240" w:lineRule="auto"/>
              <w:rPr>
                <w:b/>
                <w:bCs/>
              </w:rPr>
            </w:pPr>
            <w:r w:rsidRPr="002E0B0F">
              <w:t>it must work with the public body on implementing any measures as may be necessary, or as recommended by the OIPC, to mitigate the risk of recurrence.</w:t>
            </w:r>
          </w:p>
        </w:tc>
        <w:tc>
          <w:tcPr>
            <w:tcW w:w="264" w:type="pct"/>
            <w:vAlign w:val="center"/>
          </w:tcPr>
          <w:p w14:paraId="5FB7F567" w14:textId="77777777" w:rsidR="002C39C2" w:rsidRPr="002E0B0F" w:rsidRDefault="002C39C2" w:rsidP="00CE0777">
            <w:pPr>
              <w:spacing w:after="0" w:line="240" w:lineRule="auto"/>
            </w:pPr>
          </w:p>
        </w:tc>
        <w:tc>
          <w:tcPr>
            <w:tcW w:w="842" w:type="pct"/>
            <w:vAlign w:val="center"/>
          </w:tcPr>
          <w:p w14:paraId="2F4E531A" w14:textId="77777777" w:rsidR="002C39C2" w:rsidRPr="002E0B0F" w:rsidRDefault="002C39C2" w:rsidP="00CE0777">
            <w:pPr>
              <w:spacing w:after="0" w:line="240" w:lineRule="auto"/>
            </w:pPr>
          </w:p>
        </w:tc>
      </w:tr>
      <w:tr w:rsidR="001A79D8" w:rsidRPr="002E0B0F" w14:paraId="37212F1E" w14:textId="77777777" w:rsidTr="00D47BD8">
        <w:trPr>
          <w:cantSplit/>
          <w:trHeight w:val="1134"/>
          <w:jc w:val="center"/>
        </w:trPr>
        <w:tc>
          <w:tcPr>
            <w:tcW w:w="341" w:type="pct"/>
            <w:shd w:val="clear" w:color="auto" w:fill="EAE2DD" w:themeFill="background2"/>
            <w:textDirection w:val="btLr"/>
            <w:vAlign w:val="center"/>
          </w:tcPr>
          <w:p w14:paraId="4CD263CB" w14:textId="09B66689" w:rsidR="002C39C2" w:rsidRPr="00054ECA" w:rsidRDefault="002C39C2" w:rsidP="00DF3835">
            <w:pPr>
              <w:spacing w:after="0" w:line="240" w:lineRule="auto"/>
              <w:ind w:left="113" w:right="113"/>
              <w:jc w:val="center"/>
            </w:pPr>
            <w:r w:rsidRPr="006D77B1">
              <w:rPr>
                <w:sz w:val="24"/>
                <w:szCs w:val="24"/>
              </w:rPr>
              <w:t>Complaints</w:t>
            </w:r>
            <w:r w:rsidR="00052E62">
              <w:rPr>
                <w:sz w:val="24"/>
                <w:szCs w:val="24"/>
              </w:rPr>
              <w:t xml:space="preserve"> Handling</w:t>
            </w:r>
          </w:p>
        </w:tc>
        <w:tc>
          <w:tcPr>
            <w:tcW w:w="3553" w:type="pct"/>
            <w:shd w:val="clear" w:color="auto" w:fill="FFFFFF"/>
            <w:tcMar>
              <w:top w:w="75" w:type="dxa"/>
              <w:left w:w="75" w:type="dxa"/>
              <w:bottom w:w="75" w:type="dxa"/>
              <w:right w:w="75" w:type="dxa"/>
            </w:tcMar>
            <w:hideMark/>
          </w:tcPr>
          <w:p w14:paraId="3E4B36E4" w14:textId="77777777" w:rsidR="002C39C2" w:rsidRPr="002E0B0F" w:rsidRDefault="002C39C2" w:rsidP="00DF3835">
            <w:pPr>
              <w:spacing w:after="0" w:line="240" w:lineRule="auto"/>
            </w:pPr>
            <w:r w:rsidRPr="002E0B0F">
              <w:rPr>
                <w:b/>
                <w:bCs/>
              </w:rPr>
              <w:t xml:space="preserve">Complaints and investigations </w:t>
            </w:r>
            <w:r w:rsidRPr="002E0B0F">
              <w:t>(POPA section 38)</w:t>
            </w:r>
          </w:p>
          <w:p w14:paraId="6685A1FE" w14:textId="77777777" w:rsidR="002C39C2" w:rsidRPr="002E0B0F" w:rsidRDefault="002C39C2" w:rsidP="00DF3835">
            <w:pPr>
              <w:spacing w:after="0" w:line="240" w:lineRule="auto"/>
            </w:pPr>
            <w:r w:rsidRPr="002E0B0F">
              <w:t xml:space="preserve">The contract addresses how complaints received by the service provider concerning any allegation of non-compliance by the service provider (or its employees or subcontractors) with POPA will be addressed and managed and roles and responsibilities relating thereto are addressed in the contract. </w:t>
            </w:r>
          </w:p>
        </w:tc>
        <w:tc>
          <w:tcPr>
            <w:tcW w:w="264" w:type="pct"/>
            <w:vAlign w:val="center"/>
          </w:tcPr>
          <w:p w14:paraId="2FA46CF5" w14:textId="77777777" w:rsidR="002C39C2" w:rsidRPr="002E0B0F" w:rsidRDefault="002C39C2" w:rsidP="00CE0777">
            <w:pPr>
              <w:spacing w:after="0" w:line="240" w:lineRule="auto"/>
            </w:pPr>
          </w:p>
        </w:tc>
        <w:tc>
          <w:tcPr>
            <w:tcW w:w="842" w:type="pct"/>
            <w:vAlign w:val="center"/>
          </w:tcPr>
          <w:p w14:paraId="51F4CB1E" w14:textId="77777777" w:rsidR="002C39C2" w:rsidRPr="002E0B0F" w:rsidRDefault="002C39C2" w:rsidP="00CE0777">
            <w:pPr>
              <w:spacing w:after="0" w:line="240" w:lineRule="auto"/>
            </w:pPr>
          </w:p>
        </w:tc>
      </w:tr>
      <w:tr w:rsidR="001A79D8" w:rsidRPr="002E0B0F" w14:paraId="63D319E4" w14:textId="77777777" w:rsidTr="00D47BD8">
        <w:trPr>
          <w:cantSplit/>
          <w:jc w:val="center"/>
        </w:trPr>
        <w:tc>
          <w:tcPr>
            <w:tcW w:w="341" w:type="pct"/>
            <w:vMerge w:val="restart"/>
            <w:shd w:val="clear" w:color="auto" w:fill="EAE2DD" w:themeFill="background2"/>
            <w:textDirection w:val="btLr"/>
            <w:vAlign w:val="center"/>
          </w:tcPr>
          <w:p w14:paraId="0F1956FC" w14:textId="77777777" w:rsidR="002C39C2" w:rsidRPr="00054ECA" w:rsidRDefault="002C39C2" w:rsidP="00DF3835">
            <w:pPr>
              <w:spacing w:after="0" w:line="240" w:lineRule="auto"/>
              <w:ind w:left="113" w:right="113"/>
              <w:jc w:val="center"/>
              <w:rPr>
                <w:b/>
                <w:bCs/>
              </w:rPr>
            </w:pPr>
            <w:r w:rsidRPr="006D77B1">
              <w:rPr>
                <w:sz w:val="24"/>
                <w:szCs w:val="24"/>
              </w:rPr>
              <w:t>Termination</w:t>
            </w:r>
          </w:p>
        </w:tc>
        <w:tc>
          <w:tcPr>
            <w:tcW w:w="3553" w:type="pct"/>
            <w:shd w:val="clear" w:color="auto" w:fill="FFFFFF"/>
            <w:tcMar>
              <w:top w:w="75" w:type="dxa"/>
              <w:left w:w="75" w:type="dxa"/>
              <w:bottom w:w="75" w:type="dxa"/>
              <w:right w:w="75" w:type="dxa"/>
            </w:tcMar>
          </w:tcPr>
          <w:p w14:paraId="5A2AC727" w14:textId="77777777" w:rsidR="002C39C2" w:rsidRPr="002E0B0F" w:rsidRDefault="002C39C2" w:rsidP="00DF3835">
            <w:pPr>
              <w:spacing w:after="0" w:line="240" w:lineRule="auto"/>
            </w:pPr>
            <w:r w:rsidRPr="002E0B0F">
              <w:rPr>
                <w:b/>
                <w:bCs/>
              </w:rPr>
              <w:t>Termination or expiry of the contract</w:t>
            </w:r>
          </w:p>
          <w:p w14:paraId="3627198E" w14:textId="77777777" w:rsidR="002C39C2" w:rsidRPr="002E0B0F" w:rsidRDefault="002C39C2" w:rsidP="00DF3835">
            <w:pPr>
              <w:spacing w:after="0" w:line="240" w:lineRule="auto"/>
            </w:pPr>
            <w:r w:rsidRPr="002E0B0F">
              <w:t>The contract sets out how the contract may terminate including that it may terminate for breach of contract.</w:t>
            </w:r>
          </w:p>
        </w:tc>
        <w:tc>
          <w:tcPr>
            <w:tcW w:w="264" w:type="pct"/>
            <w:vAlign w:val="center"/>
          </w:tcPr>
          <w:p w14:paraId="150C3621" w14:textId="77777777" w:rsidR="002C39C2" w:rsidRPr="002E0B0F" w:rsidRDefault="002C39C2" w:rsidP="00CE0777">
            <w:pPr>
              <w:spacing w:after="0" w:line="240" w:lineRule="auto"/>
            </w:pPr>
          </w:p>
        </w:tc>
        <w:tc>
          <w:tcPr>
            <w:tcW w:w="842" w:type="pct"/>
            <w:vAlign w:val="center"/>
          </w:tcPr>
          <w:p w14:paraId="108545CA" w14:textId="77777777" w:rsidR="002C39C2" w:rsidRPr="002E0B0F" w:rsidRDefault="002C39C2" w:rsidP="00CE0777">
            <w:pPr>
              <w:spacing w:after="0" w:line="240" w:lineRule="auto"/>
            </w:pPr>
          </w:p>
        </w:tc>
      </w:tr>
      <w:tr w:rsidR="001A79D8" w:rsidRPr="002E0B0F" w14:paraId="57FD93A7" w14:textId="77777777" w:rsidTr="00D47BD8">
        <w:trPr>
          <w:cantSplit/>
          <w:jc w:val="center"/>
        </w:trPr>
        <w:tc>
          <w:tcPr>
            <w:tcW w:w="341" w:type="pct"/>
            <w:vMerge/>
            <w:shd w:val="clear" w:color="auto" w:fill="EAE2DD" w:themeFill="background2"/>
          </w:tcPr>
          <w:p w14:paraId="349532EB"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hideMark/>
          </w:tcPr>
          <w:p w14:paraId="5ACF3B35" w14:textId="77777777" w:rsidR="002C39C2" w:rsidRPr="002E0B0F" w:rsidRDefault="002C39C2" w:rsidP="00DF3835">
            <w:pPr>
              <w:spacing w:after="0" w:line="240" w:lineRule="auto"/>
            </w:pPr>
            <w:r w:rsidRPr="002E0B0F">
              <w:t>The contract addresses what is to happen to the records on termination of the contract, including when the contract is terminated for breach of its provisions, such as all personal information and records must be returned to the public body on termination of the contract and that the service provider shall not keep copies of the information.</w:t>
            </w:r>
          </w:p>
        </w:tc>
        <w:tc>
          <w:tcPr>
            <w:tcW w:w="264" w:type="pct"/>
            <w:vAlign w:val="center"/>
          </w:tcPr>
          <w:p w14:paraId="5B1F584A" w14:textId="77777777" w:rsidR="002C39C2" w:rsidRPr="002E0B0F" w:rsidRDefault="002C39C2" w:rsidP="00CE0777">
            <w:pPr>
              <w:spacing w:after="0" w:line="240" w:lineRule="auto"/>
            </w:pPr>
          </w:p>
        </w:tc>
        <w:tc>
          <w:tcPr>
            <w:tcW w:w="842" w:type="pct"/>
            <w:vAlign w:val="center"/>
          </w:tcPr>
          <w:p w14:paraId="5C8AE845" w14:textId="77777777" w:rsidR="002C39C2" w:rsidRPr="002E0B0F" w:rsidRDefault="002C39C2" w:rsidP="00CE0777">
            <w:pPr>
              <w:spacing w:after="0" w:line="240" w:lineRule="auto"/>
            </w:pPr>
          </w:p>
        </w:tc>
      </w:tr>
      <w:tr w:rsidR="001A79D8" w:rsidRPr="002E0B0F" w14:paraId="041A9164" w14:textId="77777777" w:rsidTr="00D47BD8">
        <w:trPr>
          <w:cantSplit/>
          <w:jc w:val="center"/>
        </w:trPr>
        <w:tc>
          <w:tcPr>
            <w:tcW w:w="341" w:type="pct"/>
            <w:vMerge/>
            <w:shd w:val="clear" w:color="auto" w:fill="EAE2DD" w:themeFill="background2"/>
          </w:tcPr>
          <w:p w14:paraId="36165FC9"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tcPr>
          <w:p w14:paraId="13656E00" w14:textId="77777777" w:rsidR="002C39C2" w:rsidRPr="002E0B0F" w:rsidRDefault="002C39C2" w:rsidP="00DF3835">
            <w:pPr>
              <w:spacing w:after="0" w:line="240" w:lineRule="auto"/>
            </w:pPr>
            <w:r w:rsidRPr="002E0B0F">
              <w:t xml:space="preserve">The contract includes clear expectations regarding portability of the records created by the service provider, including those containing personal information, to ensure that on termination, the information can be moved across different platforms with minimal integration </w:t>
            </w:r>
            <w:proofErr w:type="gramStart"/>
            <w:r w:rsidRPr="002E0B0F">
              <w:t>issues</w:t>
            </w:r>
            <w:proofErr w:type="gramEnd"/>
            <w:r w:rsidRPr="002E0B0F">
              <w:t xml:space="preserve"> and it will be readable to the public body</w:t>
            </w:r>
            <w:r>
              <w:t>.</w:t>
            </w:r>
          </w:p>
        </w:tc>
        <w:tc>
          <w:tcPr>
            <w:tcW w:w="264" w:type="pct"/>
            <w:vAlign w:val="center"/>
          </w:tcPr>
          <w:p w14:paraId="3539B085" w14:textId="77777777" w:rsidR="002C39C2" w:rsidRPr="002E0B0F" w:rsidRDefault="002C39C2" w:rsidP="00CE0777">
            <w:pPr>
              <w:spacing w:after="0" w:line="240" w:lineRule="auto"/>
            </w:pPr>
          </w:p>
        </w:tc>
        <w:tc>
          <w:tcPr>
            <w:tcW w:w="842" w:type="pct"/>
            <w:vAlign w:val="center"/>
          </w:tcPr>
          <w:p w14:paraId="0135B2D7" w14:textId="77777777" w:rsidR="002C39C2" w:rsidRPr="002E0B0F" w:rsidRDefault="002C39C2" w:rsidP="00CE0777">
            <w:pPr>
              <w:spacing w:after="0" w:line="240" w:lineRule="auto"/>
            </w:pPr>
          </w:p>
        </w:tc>
      </w:tr>
      <w:tr w:rsidR="001A79D8" w:rsidRPr="002E0B0F" w14:paraId="32AAF1EF" w14:textId="77777777" w:rsidTr="00D47BD8">
        <w:trPr>
          <w:cantSplit/>
          <w:jc w:val="center"/>
        </w:trPr>
        <w:tc>
          <w:tcPr>
            <w:tcW w:w="341" w:type="pct"/>
            <w:vMerge/>
            <w:shd w:val="clear" w:color="auto" w:fill="EAE2DD" w:themeFill="background2"/>
          </w:tcPr>
          <w:p w14:paraId="0A484E0C" w14:textId="77777777" w:rsidR="002C39C2" w:rsidRPr="00054ECA" w:rsidRDefault="002C39C2" w:rsidP="00DF3835">
            <w:pPr>
              <w:spacing w:after="0" w:line="240" w:lineRule="auto"/>
            </w:pPr>
          </w:p>
        </w:tc>
        <w:tc>
          <w:tcPr>
            <w:tcW w:w="3553" w:type="pct"/>
            <w:shd w:val="clear" w:color="auto" w:fill="FFFFFF"/>
            <w:tcMar>
              <w:top w:w="75" w:type="dxa"/>
              <w:left w:w="75" w:type="dxa"/>
              <w:bottom w:w="75" w:type="dxa"/>
              <w:right w:w="75" w:type="dxa"/>
            </w:tcMar>
            <w:hideMark/>
          </w:tcPr>
          <w:p w14:paraId="12E6E17C" w14:textId="77777777" w:rsidR="002C39C2" w:rsidRPr="002E0B0F" w:rsidRDefault="002C39C2" w:rsidP="00DF3835">
            <w:pPr>
              <w:spacing w:after="0" w:line="240" w:lineRule="auto"/>
            </w:pPr>
            <w:r w:rsidRPr="002E0B0F">
              <w:t xml:space="preserve">The contract requires that the duty of the service provider to keep confidential the personal information to which it has access during the term of the contract extends beyond the term of the contract and is in perpetuity. </w:t>
            </w:r>
          </w:p>
        </w:tc>
        <w:tc>
          <w:tcPr>
            <w:tcW w:w="264" w:type="pct"/>
            <w:vAlign w:val="center"/>
          </w:tcPr>
          <w:p w14:paraId="3E651251" w14:textId="77777777" w:rsidR="002C39C2" w:rsidRPr="002E0B0F" w:rsidRDefault="002C39C2" w:rsidP="00CE0777">
            <w:pPr>
              <w:spacing w:after="0" w:line="240" w:lineRule="auto"/>
            </w:pPr>
          </w:p>
        </w:tc>
        <w:tc>
          <w:tcPr>
            <w:tcW w:w="842" w:type="pct"/>
            <w:vAlign w:val="center"/>
          </w:tcPr>
          <w:p w14:paraId="467C8945" w14:textId="77777777" w:rsidR="002C39C2" w:rsidRPr="002E0B0F" w:rsidRDefault="002C39C2" w:rsidP="00CE0777">
            <w:pPr>
              <w:spacing w:after="0" w:line="240" w:lineRule="auto"/>
            </w:pPr>
          </w:p>
        </w:tc>
      </w:tr>
    </w:tbl>
    <w:p w14:paraId="6FA9575F" w14:textId="77777777" w:rsidR="0092563F" w:rsidRPr="00D55A72" w:rsidRDefault="0092563F" w:rsidP="00C975FB">
      <w:pPr>
        <w:spacing w:after="0" w:line="276" w:lineRule="auto"/>
        <w:rPr>
          <w:rFonts w:ascii="Calibri" w:hAnsi="Calibri" w:cs="Calibri"/>
        </w:rPr>
      </w:pPr>
    </w:p>
    <w:sectPr w:rsidR="0092563F" w:rsidRPr="00D55A72" w:rsidSect="001A79D8">
      <w:type w:val="continuous"/>
      <w:pgSz w:w="12240" w:h="15840"/>
      <w:pgMar w:top="1276" w:right="1440" w:bottom="851"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A5FF" w14:textId="77777777" w:rsidR="004F1365" w:rsidRDefault="004F1365" w:rsidP="00EE3F97">
      <w:r>
        <w:separator/>
      </w:r>
    </w:p>
  </w:endnote>
  <w:endnote w:type="continuationSeparator" w:id="0">
    <w:p w14:paraId="0CFCF43D" w14:textId="77777777" w:rsidR="004F1365" w:rsidRDefault="004F1365" w:rsidP="00EE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FF7A" w14:textId="43372663" w:rsidR="008414A2" w:rsidRPr="005A6C46" w:rsidRDefault="00D27F16" w:rsidP="00853FFD">
    <w:pPr>
      <w:pStyle w:val="Footer"/>
      <w:rPr>
        <w:color w:val="808080" w:themeColor="background1" w:themeShade="80"/>
        <w:sz w:val="20"/>
        <w:szCs w:val="20"/>
      </w:rPr>
    </w:pPr>
    <w:r w:rsidRPr="005A6C46">
      <w:rPr>
        <w:color w:val="808080" w:themeColor="background1" w:themeShade="80"/>
        <w:sz w:val="20"/>
        <w:szCs w:val="20"/>
      </w:rPr>
      <w:t>April 2026</w:t>
    </w:r>
    <w:r>
      <w:rPr>
        <w:color w:val="808080" w:themeColor="background1" w:themeShade="80"/>
        <w:sz w:val="20"/>
        <w:szCs w:val="20"/>
      </w:rPr>
      <w:tab/>
    </w:r>
    <w:r>
      <w:rPr>
        <w:color w:val="808080" w:themeColor="background1" w:themeShade="80"/>
        <w:sz w:val="20"/>
        <w:szCs w:val="20"/>
      </w:rPr>
      <w:tab/>
    </w:r>
    <w:sdt>
      <w:sdtPr>
        <w:rPr>
          <w:color w:val="808080" w:themeColor="background1" w:themeShade="80"/>
          <w:sz w:val="20"/>
          <w:szCs w:val="20"/>
        </w:rPr>
        <w:id w:val="-1825194397"/>
        <w:docPartObj>
          <w:docPartGallery w:val="Page Numbers (Bottom of Page)"/>
          <w:docPartUnique/>
        </w:docPartObj>
      </w:sdtPr>
      <w:sdtEndPr>
        <w:rPr>
          <w:noProof/>
        </w:rPr>
      </w:sdtEndPr>
      <w:sdtContent>
        <w:r w:rsidR="003B4819" w:rsidRPr="005A6C46">
          <w:rPr>
            <w:color w:val="808080" w:themeColor="background1" w:themeShade="80"/>
            <w:sz w:val="20"/>
            <w:szCs w:val="20"/>
          </w:rPr>
          <w:fldChar w:fldCharType="begin"/>
        </w:r>
        <w:r w:rsidR="003B4819" w:rsidRPr="005A6C46">
          <w:rPr>
            <w:color w:val="808080" w:themeColor="background1" w:themeShade="80"/>
            <w:sz w:val="20"/>
            <w:szCs w:val="20"/>
          </w:rPr>
          <w:instrText xml:space="preserve"> PAGE   \* MERGEFORMAT </w:instrText>
        </w:r>
        <w:r w:rsidR="003B4819" w:rsidRPr="005A6C46">
          <w:rPr>
            <w:color w:val="808080" w:themeColor="background1" w:themeShade="80"/>
            <w:sz w:val="20"/>
            <w:szCs w:val="20"/>
          </w:rPr>
          <w:fldChar w:fldCharType="separate"/>
        </w:r>
        <w:r w:rsidR="003B4819" w:rsidRPr="005A6C46">
          <w:rPr>
            <w:noProof/>
            <w:color w:val="808080" w:themeColor="background1" w:themeShade="80"/>
            <w:sz w:val="20"/>
            <w:szCs w:val="20"/>
          </w:rPr>
          <w:t>2</w:t>
        </w:r>
        <w:r w:rsidR="003B4819" w:rsidRPr="005A6C46">
          <w:rPr>
            <w:noProof/>
            <w:color w:val="808080" w:themeColor="background1" w:themeShade="80"/>
            <w:sz w:val="20"/>
            <w:szCs w:val="20"/>
          </w:rPr>
          <w:fldChar w:fldCharType="end"/>
        </w:r>
        <w:r w:rsidR="005A6C46" w:rsidRPr="005A6C46">
          <w:rPr>
            <w:noProof/>
            <w:color w:val="808080" w:themeColor="background1" w:themeShade="80"/>
            <w:sz w:val="20"/>
            <w:szCs w:val="20"/>
          </w:rPr>
          <w:t xml:space="preserve"> / </w:t>
        </w:r>
        <w:r w:rsidR="002C39C2">
          <w:rPr>
            <w:noProof/>
            <w:color w:val="808080" w:themeColor="background1" w:themeShade="80"/>
            <w:sz w:val="20"/>
            <w:szCs w:val="20"/>
          </w:rPr>
          <w:fldChar w:fldCharType="begin"/>
        </w:r>
        <w:r w:rsidR="002C39C2">
          <w:rPr>
            <w:noProof/>
            <w:color w:val="808080" w:themeColor="background1" w:themeShade="80"/>
            <w:sz w:val="20"/>
            <w:szCs w:val="20"/>
          </w:rPr>
          <w:instrText xml:space="preserve"> NUMPAGES   \* MERGEFORMAT </w:instrText>
        </w:r>
        <w:r w:rsidR="002C39C2">
          <w:rPr>
            <w:noProof/>
            <w:color w:val="808080" w:themeColor="background1" w:themeShade="80"/>
            <w:sz w:val="20"/>
            <w:szCs w:val="20"/>
          </w:rPr>
          <w:fldChar w:fldCharType="separate"/>
        </w:r>
        <w:r w:rsidR="002C39C2">
          <w:rPr>
            <w:noProof/>
            <w:color w:val="808080" w:themeColor="background1" w:themeShade="80"/>
            <w:sz w:val="20"/>
            <w:szCs w:val="20"/>
          </w:rPr>
          <w:t>8</w:t>
        </w:r>
        <w:r w:rsidR="002C39C2">
          <w:rPr>
            <w:noProof/>
            <w:color w:val="808080" w:themeColor="background1" w:themeShade="80"/>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4828" w14:textId="1DC7EF18" w:rsidR="00163AEC" w:rsidRPr="00163AEC" w:rsidRDefault="00163AEC">
    <w:pPr>
      <w:pStyle w:val="Footer"/>
      <w:rPr>
        <w:color w:val="808080" w:themeColor="background1" w:themeShade="80"/>
        <w:sz w:val="20"/>
        <w:szCs w:val="20"/>
      </w:rPr>
    </w:pPr>
    <w:r w:rsidRPr="005A6C46">
      <w:rPr>
        <w:color w:val="808080" w:themeColor="background1" w:themeShade="80"/>
        <w:sz w:val="20"/>
        <w:szCs w:val="20"/>
      </w:rPr>
      <w:t>April 2026</w:t>
    </w:r>
    <w:r>
      <w:rPr>
        <w:color w:val="808080" w:themeColor="background1" w:themeShade="80"/>
        <w:sz w:val="20"/>
        <w:szCs w:val="20"/>
      </w:rPr>
      <w:tab/>
    </w:r>
    <w:r>
      <w:rPr>
        <w:color w:val="808080" w:themeColor="background1" w:themeShade="80"/>
        <w:sz w:val="20"/>
        <w:szCs w:val="20"/>
      </w:rPr>
      <w:tab/>
    </w:r>
    <w:sdt>
      <w:sdtPr>
        <w:rPr>
          <w:color w:val="808080" w:themeColor="background1" w:themeShade="80"/>
          <w:sz w:val="20"/>
          <w:szCs w:val="20"/>
        </w:rPr>
        <w:id w:val="-491261101"/>
        <w:docPartObj>
          <w:docPartGallery w:val="Page Numbers (Bottom of Page)"/>
          <w:docPartUnique/>
        </w:docPartObj>
      </w:sdtPr>
      <w:sdtEndPr>
        <w:rPr>
          <w:noProof/>
        </w:rPr>
      </w:sdtEndPr>
      <w:sdtContent>
        <w:r w:rsidRPr="005A6C46">
          <w:rPr>
            <w:color w:val="808080" w:themeColor="background1" w:themeShade="80"/>
            <w:sz w:val="20"/>
            <w:szCs w:val="20"/>
          </w:rPr>
          <w:fldChar w:fldCharType="begin"/>
        </w:r>
        <w:r w:rsidRPr="005A6C46">
          <w:rPr>
            <w:color w:val="808080" w:themeColor="background1" w:themeShade="80"/>
            <w:sz w:val="20"/>
            <w:szCs w:val="20"/>
          </w:rPr>
          <w:instrText xml:space="preserve"> PAGE   \* MERGEFORMAT </w:instrText>
        </w:r>
        <w:r w:rsidRPr="005A6C46">
          <w:rPr>
            <w:color w:val="808080" w:themeColor="background1" w:themeShade="80"/>
            <w:sz w:val="20"/>
            <w:szCs w:val="20"/>
          </w:rPr>
          <w:fldChar w:fldCharType="separate"/>
        </w:r>
        <w:r>
          <w:rPr>
            <w:color w:val="808080" w:themeColor="background1" w:themeShade="80"/>
            <w:sz w:val="20"/>
            <w:szCs w:val="20"/>
          </w:rPr>
          <w:t>2</w:t>
        </w:r>
        <w:r w:rsidRPr="005A6C46">
          <w:rPr>
            <w:noProof/>
            <w:color w:val="808080" w:themeColor="background1" w:themeShade="80"/>
            <w:sz w:val="20"/>
            <w:szCs w:val="20"/>
          </w:rPr>
          <w:fldChar w:fldCharType="end"/>
        </w:r>
        <w:r w:rsidRPr="005A6C46">
          <w:rPr>
            <w:noProof/>
            <w:color w:val="808080" w:themeColor="background1" w:themeShade="80"/>
            <w:sz w:val="20"/>
            <w:szCs w:val="20"/>
          </w:rPr>
          <w:t xml:space="preserve"> / </w:t>
        </w:r>
        <w:r>
          <w:rPr>
            <w:noProof/>
            <w:color w:val="808080" w:themeColor="background1" w:themeShade="80"/>
            <w:sz w:val="20"/>
            <w:szCs w:val="20"/>
          </w:rPr>
          <w:fldChar w:fldCharType="begin"/>
        </w:r>
        <w:r>
          <w:rPr>
            <w:noProof/>
            <w:color w:val="808080" w:themeColor="background1" w:themeShade="80"/>
            <w:sz w:val="20"/>
            <w:szCs w:val="20"/>
          </w:rPr>
          <w:instrText xml:space="preserve"> NUMPAGES   \* MERGEFORMAT </w:instrText>
        </w:r>
        <w:r>
          <w:rPr>
            <w:noProof/>
            <w:color w:val="808080" w:themeColor="background1" w:themeShade="80"/>
            <w:sz w:val="20"/>
            <w:szCs w:val="20"/>
          </w:rPr>
          <w:fldChar w:fldCharType="separate"/>
        </w:r>
        <w:r>
          <w:rPr>
            <w:noProof/>
            <w:color w:val="808080" w:themeColor="background1" w:themeShade="80"/>
            <w:sz w:val="20"/>
            <w:szCs w:val="20"/>
          </w:rPr>
          <w:t>6</w:t>
        </w:r>
        <w:r>
          <w:rPr>
            <w:noProof/>
            <w:color w:val="808080" w:themeColor="background1" w:themeShade="80"/>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488C" w14:textId="77777777" w:rsidR="004F1365" w:rsidRDefault="004F1365" w:rsidP="00EE3F97">
      <w:r>
        <w:separator/>
      </w:r>
    </w:p>
  </w:footnote>
  <w:footnote w:type="continuationSeparator" w:id="0">
    <w:p w14:paraId="6812B03C" w14:textId="77777777" w:rsidR="004F1365" w:rsidRDefault="004F1365" w:rsidP="00EE3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4290" w14:textId="0F645DEF" w:rsidR="005A6C46" w:rsidRPr="005A6C46" w:rsidRDefault="005A6C46" w:rsidP="00853FFD">
    <w:pPr>
      <w:pStyle w:val="Header"/>
      <w:rPr>
        <w:color w:val="808080" w:themeColor="background1" w:themeShade="80"/>
        <w:sz w:val="20"/>
        <w:szCs w:val="20"/>
      </w:rPr>
    </w:pPr>
    <w:r w:rsidRPr="005A6C46">
      <w:rPr>
        <w:color w:val="808080" w:themeColor="background1" w:themeShade="80"/>
        <w:sz w:val="20"/>
        <w:szCs w:val="20"/>
      </w:rPr>
      <w:t xml:space="preserve">POPA </w:t>
    </w:r>
    <w:r w:rsidR="002C39C2" w:rsidRPr="002C39C2">
      <w:rPr>
        <w:color w:val="808080" w:themeColor="background1" w:themeShade="80"/>
        <w:sz w:val="20"/>
        <w:szCs w:val="20"/>
      </w:rPr>
      <w:t>Service Provider Contract Privacy Checklist</w:t>
    </w:r>
    <w:r w:rsidRPr="005A6C46">
      <w:rPr>
        <w:color w:val="808080" w:themeColor="background1" w:themeShade="80"/>
        <w:sz w:val="20"/>
        <w:szCs w:val="20"/>
      </w:rPr>
      <w:tab/>
    </w:r>
    <w:r w:rsidRPr="005A6C46">
      <w:rPr>
        <w:color w:val="808080" w:themeColor="background1" w:themeShade="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90"/>
    <w:multiLevelType w:val="multilevel"/>
    <w:tmpl w:val="3DA4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32CFB"/>
    <w:multiLevelType w:val="multilevel"/>
    <w:tmpl w:val="90B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F4803"/>
    <w:multiLevelType w:val="multilevel"/>
    <w:tmpl w:val="99E8E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D6B23"/>
    <w:multiLevelType w:val="hybridMultilevel"/>
    <w:tmpl w:val="E9C021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6053B2"/>
    <w:multiLevelType w:val="multilevel"/>
    <w:tmpl w:val="55B6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509E2"/>
    <w:multiLevelType w:val="multilevel"/>
    <w:tmpl w:val="947C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C58B4"/>
    <w:multiLevelType w:val="multilevel"/>
    <w:tmpl w:val="99CA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93C16"/>
    <w:multiLevelType w:val="multilevel"/>
    <w:tmpl w:val="8EEC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8437D"/>
    <w:multiLevelType w:val="multilevel"/>
    <w:tmpl w:val="9B0A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B26F1"/>
    <w:multiLevelType w:val="multilevel"/>
    <w:tmpl w:val="500A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009EC"/>
    <w:multiLevelType w:val="multilevel"/>
    <w:tmpl w:val="9B1C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018C4"/>
    <w:multiLevelType w:val="multilevel"/>
    <w:tmpl w:val="9B86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754F2"/>
    <w:multiLevelType w:val="multilevel"/>
    <w:tmpl w:val="15CC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2128C"/>
    <w:multiLevelType w:val="multilevel"/>
    <w:tmpl w:val="71EE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47DC6"/>
    <w:multiLevelType w:val="multilevel"/>
    <w:tmpl w:val="CDA6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1668B"/>
    <w:multiLevelType w:val="multilevel"/>
    <w:tmpl w:val="618E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E3F15"/>
    <w:multiLevelType w:val="multilevel"/>
    <w:tmpl w:val="8582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A287D"/>
    <w:multiLevelType w:val="multilevel"/>
    <w:tmpl w:val="D93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1630C"/>
    <w:multiLevelType w:val="hybridMultilevel"/>
    <w:tmpl w:val="01EAC46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5427B23"/>
    <w:multiLevelType w:val="multilevel"/>
    <w:tmpl w:val="A03E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D232A8"/>
    <w:multiLevelType w:val="multilevel"/>
    <w:tmpl w:val="2100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B12F3B"/>
    <w:multiLevelType w:val="hybridMultilevel"/>
    <w:tmpl w:val="B4B4158A"/>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477EFB"/>
    <w:multiLevelType w:val="multilevel"/>
    <w:tmpl w:val="78F6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B96F0A"/>
    <w:multiLevelType w:val="multilevel"/>
    <w:tmpl w:val="5422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93611"/>
    <w:multiLevelType w:val="multilevel"/>
    <w:tmpl w:val="B79A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6B5B25"/>
    <w:multiLevelType w:val="multilevel"/>
    <w:tmpl w:val="D900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8144AB"/>
    <w:multiLevelType w:val="multilevel"/>
    <w:tmpl w:val="208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DF1560"/>
    <w:multiLevelType w:val="multilevel"/>
    <w:tmpl w:val="58C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438794">
    <w:abstractNumId w:val="14"/>
  </w:num>
  <w:num w:numId="2" w16cid:durableId="473714832">
    <w:abstractNumId w:val="20"/>
  </w:num>
  <w:num w:numId="3" w16cid:durableId="1011302984">
    <w:abstractNumId w:val="25"/>
  </w:num>
  <w:num w:numId="4" w16cid:durableId="707871547">
    <w:abstractNumId w:val="6"/>
  </w:num>
  <w:num w:numId="5" w16cid:durableId="1333534092">
    <w:abstractNumId w:val="23"/>
  </w:num>
  <w:num w:numId="6" w16cid:durableId="111365335">
    <w:abstractNumId w:val="16"/>
  </w:num>
  <w:num w:numId="7" w16cid:durableId="1880698730">
    <w:abstractNumId w:val="8"/>
  </w:num>
  <w:num w:numId="8" w16cid:durableId="1334381534">
    <w:abstractNumId w:val="13"/>
  </w:num>
  <w:num w:numId="9" w16cid:durableId="364258926">
    <w:abstractNumId w:val="24"/>
  </w:num>
  <w:num w:numId="10" w16cid:durableId="1048869918">
    <w:abstractNumId w:val="4"/>
  </w:num>
  <w:num w:numId="11" w16cid:durableId="1803620799">
    <w:abstractNumId w:val="17"/>
  </w:num>
  <w:num w:numId="12" w16cid:durableId="592904878">
    <w:abstractNumId w:val="0"/>
  </w:num>
  <w:num w:numId="13" w16cid:durableId="1332367012">
    <w:abstractNumId w:val="5"/>
  </w:num>
  <w:num w:numId="14" w16cid:durableId="1618371511">
    <w:abstractNumId w:val="12"/>
  </w:num>
  <w:num w:numId="15" w16cid:durableId="1960141801">
    <w:abstractNumId w:val="9"/>
  </w:num>
  <w:num w:numId="16" w16cid:durableId="1048608729">
    <w:abstractNumId w:val="7"/>
  </w:num>
  <w:num w:numId="17" w16cid:durableId="29913995">
    <w:abstractNumId w:val="26"/>
  </w:num>
  <w:num w:numId="18" w16cid:durableId="1958482917">
    <w:abstractNumId w:val="27"/>
  </w:num>
  <w:num w:numId="19" w16cid:durableId="578372189">
    <w:abstractNumId w:val="22"/>
  </w:num>
  <w:num w:numId="20" w16cid:durableId="1206333806">
    <w:abstractNumId w:val="10"/>
  </w:num>
  <w:num w:numId="21" w16cid:durableId="2559450">
    <w:abstractNumId w:val="1"/>
  </w:num>
  <w:num w:numId="22" w16cid:durableId="399447102">
    <w:abstractNumId w:val="2"/>
  </w:num>
  <w:num w:numId="23" w16cid:durableId="1985039109">
    <w:abstractNumId w:val="11"/>
  </w:num>
  <w:num w:numId="24" w16cid:durableId="1311062164">
    <w:abstractNumId w:val="19"/>
  </w:num>
  <w:num w:numId="25" w16cid:durableId="895972051">
    <w:abstractNumId w:val="15"/>
  </w:num>
  <w:num w:numId="26" w16cid:durableId="1083991143">
    <w:abstractNumId w:val="18"/>
  </w:num>
  <w:num w:numId="27" w16cid:durableId="1138956462">
    <w:abstractNumId w:val="3"/>
  </w:num>
  <w:num w:numId="28" w16cid:durableId="9326634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72"/>
    <w:rsid w:val="00024449"/>
    <w:rsid w:val="00052E62"/>
    <w:rsid w:val="000E2FCE"/>
    <w:rsid w:val="000E7A3F"/>
    <w:rsid w:val="00105FE9"/>
    <w:rsid w:val="00117C5B"/>
    <w:rsid w:val="00163AEC"/>
    <w:rsid w:val="00165F69"/>
    <w:rsid w:val="001756C6"/>
    <w:rsid w:val="001A79D8"/>
    <w:rsid w:val="002141E7"/>
    <w:rsid w:val="00240DE8"/>
    <w:rsid w:val="00247083"/>
    <w:rsid w:val="002A6B7F"/>
    <w:rsid w:val="002C300E"/>
    <w:rsid w:val="002C39C2"/>
    <w:rsid w:val="002D2A8C"/>
    <w:rsid w:val="00350597"/>
    <w:rsid w:val="003B4819"/>
    <w:rsid w:val="003F75DF"/>
    <w:rsid w:val="0046268A"/>
    <w:rsid w:val="004A06AC"/>
    <w:rsid w:val="004B00FA"/>
    <w:rsid w:val="004F1365"/>
    <w:rsid w:val="00524E32"/>
    <w:rsid w:val="005A6C46"/>
    <w:rsid w:val="00630667"/>
    <w:rsid w:val="00664927"/>
    <w:rsid w:val="006A7A24"/>
    <w:rsid w:val="006E35BD"/>
    <w:rsid w:val="00700751"/>
    <w:rsid w:val="007076F8"/>
    <w:rsid w:val="00747717"/>
    <w:rsid w:val="00765739"/>
    <w:rsid w:val="00780111"/>
    <w:rsid w:val="00787DD9"/>
    <w:rsid w:val="007E04AA"/>
    <w:rsid w:val="0080769E"/>
    <w:rsid w:val="008375BD"/>
    <w:rsid w:val="008403DE"/>
    <w:rsid w:val="008414A2"/>
    <w:rsid w:val="0084240A"/>
    <w:rsid w:val="00853FFD"/>
    <w:rsid w:val="00863FA4"/>
    <w:rsid w:val="00866F26"/>
    <w:rsid w:val="008E0002"/>
    <w:rsid w:val="009008FC"/>
    <w:rsid w:val="0092563F"/>
    <w:rsid w:val="00936370"/>
    <w:rsid w:val="009400DD"/>
    <w:rsid w:val="00991808"/>
    <w:rsid w:val="009F666E"/>
    <w:rsid w:val="00A1396C"/>
    <w:rsid w:val="00A64D1F"/>
    <w:rsid w:val="00A76C3C"/>
    <w:rsid w:val="00AA1EBD"/>
    <w:rsid w:val="00AC60A5"/>
    <w:rsid w:val="00AD1692"/>
    <w:rsid w:val="00AD3697"/>
    <w:rsid w:val="00B309A5"/>
    <w:rsid w:val="00B67269"/>
    <w:rsid w:val="00C37D5B"/>
    <w:rsid w:val="00C975FB"/>
    <w:rsid w:val="00CD34FD"/>
    <w:rsid w:val="00CE0777"/>
    <w:rsid w:val="00CE2F67"/>
    <w:rsid w:val="00D27F16"/>
    <w:rsid w:val="00D3254C"/>
    <w:rsid w:val="00D47BD8"/>
    <w:rsid w:val="00D55A72"/>
    <w:rsid w:val="00E252DA"/>
    <w:rsid w:val="00E305B3"/>
    <w:rsid w:val="00EE3F97"/>
    <w:rsid w:val="00F7714D"/>
    <w:rsid w:val="00FC38AD"/>
    <w:rsid w:val="00FE5FBD"/>
    <w:rsid w:val="00FF7A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FD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C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97"/>
    <w:rPr>
      <w:sz w:val="22"/>
      <w:szCs w:val="22"/>
    </w:rPr>
  </w:style>
  <w:style w:type="paragraph" w:styleId="Heading1">
    <w:name w:val="heading 1"/>
    <w:basedOn w:val="Normal"/>
    <w:next w:val="Normal"/>
    <w:link w:val="Heading1Char"/>
    <w:uiPriority w:val="9"/>
    <w:qFormat/>
    <w:rsid w:val="00EE3F97"/>
    <w:pPr>
      <w:keepNext/>
      <w:keepLines/>
      <w:spacing w:before="360" w:after="40" w:line="240" w:lineRule="auto"/>
      <w:outlineLvl w:val="0"/>
    </w:pPr>
    <w:rPr>
      <w:rFonts w:asciiTheme="majorHAnsi" w:eastAsiaTheme="majorEastAsia" w:hAnsiTheme="majorHAnsi" w:cstheme="majorBidi"/>
      <w:b/>
      <w:bCs/>
      <w:color w:val="81232C"/>
      <w:sz w:val="40"/>
      <w:szCs w:val="40"/>
    </w:rPr>
  </w:style>
  <w:style w:type="paragraph" w:styleId="Heading2">
    <w:name w:val="heading 2"/>
    <w:basedOn w:val="Normal"/>
    <w:next w:val="Normal"/>
    <w:link w:val="Heading2Char"/>
    <w:uiPriority w:val="9"/>
    <w:unhideWhenUsed/>
    <w:qFormat/>
    <w:rsid w:val="00D55A72"/>
    <w:pPr>
      <w:keepNext/>
      <w:keepLines/>
      <w:spacing w:before="80" w:after="0" w:line="240" w:lineRule="auto"/>
      <w:outlineLvl w:val="1"/>
    </w:pPr>
    <w:rPr>
      <w:rFonts w:ascii="Calibri" w:eastAsia="Times New Roman" w:hAnsi="Calibri" w:cs="Calibri"/>
      <w:b/>
      <w:bCs/>
      <w:color w:val="81232C"/>
      <w:sz w:val="28"/>
      <w:szCs w:val="28"/>
      <w:lang w:eastAsia="en-CA"/>
    </w:rPr>
  </w:style>
  <w:style w:type="paragraph" w:styleId="Heading3">
    <w:name w:val="heading 3"/>
    <w:basedOn w:val="Normal"/>
    <w:next w:val="Normal"/>
    <w:link w:val="Heading3Char"/>
    <w:uiPriority w:val="9"/>
    <w:unhideWhenUsed/>
    <w:qFormat/>
    <w:rsid w:val="00D55A72"/>
    <w:pPr>
      <w:spacing w:before="100" w:beforeAutospacing="1" w:after="100" w:afterAutospacing="1" w:line="240" w:lineRule="auto"/>
      <w:outlineLvl w:val="2"/>
    </w:pPr>
    <w:rPr>
      <w:rFonts w:ascii="Calibri" w:eastAsia="Times New Roman" w:hAnsi="Calibri" w:cs="Calibri"/>
      <w:b/>
      <w:bCs/>
      <w:sz w:val="24"/>
      <w:szCs w:val="24"/>
      <w:lang w:eastAsia="en-CA"/>
    </w:rPr>
  </w:style>
  <w:style w:type="paragraph" w:styleId="Heading4">
    <w:name w:val="heading 4"/>
    <w:basedOn w:val="Normal"/>
    <w:next w:val="Normal"/>
    <w:link w:val="Heading4Char"/>
    <w:uiPriority w:val="9"/>
    <w:semiHidden/>
    <w:unhideWhenUsed/>
    <w:rsid w:val="003B4819"/>
    <w:pPr>
      <w:keepNext/>
      <w:keepLines/>
      <w:spacing w:before="80" w:after="0"/>
      <w:outlineLvl w:val="3"/>
    </w:pPr>
    <w:rPr>
      <w:rFonts w:asciiTheme="majorHAnsi" w:eastAsiaTheme="majorEastAsia" w:hAnsiTheme="majorHAnsi" w:cstheme="majorBidi"/>
      <w:color w:val="A90053" w:themeColor="accent6"/>
    </w:rPr>
  </w:style>
  <w:style w:type="paragraph" w:styleId="Heading5">
    <w:name w:val="heading 5"/>
    <w:basedOn w:val="Normal"/>
    <w:next w:val="Normal"/>
    <w:link w:val="Heading5Char"/>
    <w:uiPriority w:val="9"/>
    <w:semiHidden/>
    <w:unhideWhenUsed/>
    <w:qFormat/>
    <w:rsid w:val="003B4819"/>
    <w:pPr>
      <w:keepNext/>
      <w:keepLines/>
      <w:spacing w:before="40" w:after="0"/>
      <w:outlineLvl w:val="4"/>
    </w:pPr>
    <w:rPr>
      <w:rFonts w:asciiTheme="majorHAnsi" w:eastAsiaTheme="majorEastAsia" w:hAnsiTheme="majorHAnsi" w:cstheme="majorBidi"/>
      <w:i/>
      <w:iCs/>
      <w:color w:val="A90053" w:themeColor="accent6"/>
    </w:rPr>
  </w:style>
  <w:style w:type="paragraph" w:styleId="Heading6">
    <w:name w:val="heading 6"/>
    <w:basedOn w:val="Normal"/>
    <w:next w:val="Normal"/>
    <w:link w:val="Heading6Char"/>
    <w:uiPriority w:val="9"/>
    <w:semiHidden/>
    <w:unhideWhenUsed/>
    <w:qFormat/>
    <w:rsid w:val="003B4819"/>
    <w:pPr>
      <w:keepNext/>
      <w:keepLines/>
      <w:spacing w:before="40" w:after="0"/>
      <w:outlineLvl w:val="5"/>
    </w:pPr>
    <w:rPr>
      <w:rFonts w:asciiTheme="majorHAnsi" w:eastAsiaTheme="majorEastAsia" w:hAnsiTheme="majorHAnsi" w:cstheme="majorBidi"/>
      <w:color w:val="A90053" w:themeColor="accent6"/>
    </w:rPr>
  </w:style>
  <w:style w:type="paragraph" w:styleId="Heading7">
    <w:name w:val="heading 7"/>
    <w:basedOn w:val="Normal"/>
    <w:next w:val="Normal"/>
    <w:link w:val="Heading7Char"/>
    <w:uiPriority w:val="9"/>
    <w:semiHidden/>
    <w:unhideWhenUsed/>
    <w:qFormat/>
    <w:rsid w:val="003B4819"/>
    <w:pPr>
      <w:keepNext/>
      <w:keepLines/>
      <w:spacing w:before="40" w:after="0"/>
      <w:outlineLvl w:val="6"/>
    </w:pPr>
    <w:rPr>
      <w:rFonts w:asciiTheme="majorHAnsi" w:eastAsiaTheme="majorEastAsia" w:hAnsiTheme="majorHAnsi" w:cstheme="majorBidi"/>
      <w:b/>
      <w:bCs/>
      <w:color w:val="A90053" w:themeColor="accent6"/>
    </w:rPr>
  </w:style>
  <w:style w:type="paragraph" w:styleId="Heading8">
    <w:name w:val="heading 8"/>
    <w:basedOn w:val="Normal"/>
    <w:next w:val="Normal"/>
    <w:link w:val="Heading8Char"/>
    <w:uiPriority w:val="9"/>
    <w:semiHidden/>
    <w:unhideWhenUsed/>
    <w:qFormat/>
    <w:rsid w:val="003B4819"/>
    <w:pPr>
      <w:keepNext/>
      <w:keepLines/>
      <w:spacing w:before="40" w:after="0"/>
      <w:outlineLvl w:val="7"/>
    </w:pPr>
    <w:rPr>
      <w:rFonts w:asciiTheme="majorHAnsi" w:eastAsiaTheme="majorEastAsia" w:hAnsiTheme="majorHAnsi" w:cstheme="majorBidi"/>
      <w:b/>
      <w:bCs/>
      <w:i/>
      <w:iCs/>
      <w:color w:val="A90053" w:themeColor="accent6"/>
      <w:sz w:val="20"/>
      <w:szCs w:val="20"/>
    </w:rPr>
  </w:style>
  <w:style w:type="paragraph" w:styleId="Heading9">
    <w:name w:val="heading 9"/>
    <w:basedOn w:val="Normal"/>
    <w:next w:val="Normal"/>
    <w:link w:val="Heading9Char"/>
    <w:uiPriority w:val="9"/>
    <w:semiHidden/>
    <w:unhideWhenUsed/>
    <w:qFormat/>
    <w:rsid w:val="003B4819"/>
    <w:pPr>
      <w:keepNext/>
      <w:keepLines/>
      <w:spacing w:before="40" w:after="0"/>
      <w:outlineLvl w:val="8"/>
    </w:pPr>
    <w:rPr>
      <w:rFonts w:asciiTheme="majorHAnsi" w:eastAsiaTheme="majorEastAsia" w:hAnsiTheme="majorHAnsi" w:cstheme="majorBidi"/>
      <w:i/>
      <w:iCs/>
      <w:color w:val="A9005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F97"/>
    <w:rPr>
      <w:rFonts w:asciiTheme="majorHAnsi" w:eastAsiaTheme="majorEastAsia" w:hAnsiTheme="majorHAnsi" w:cstheme="majorBidi"/>
      <w:b/>
      <w:bCs/>
      <w:color w:val="81232C"/>
      <w:sz w:val="40"/>
      <w:szCs w:val="40"/>
    </w:rPr>
  </w:style>
  <w:style w:type="character" w:customStyle="1" w:styleId="Heading2Char">
    <w:name w:val="Heading 2 Char"/>
    <w:basedOn w:val="DefaultParagraphFont"/>
    <w:link w:val="Heading2"/>
    <w:uiPriority w:val="9"/>
    <w:rsid w:val="00D55A72"/>
    <w:rPr>
      <w:rFonts w:ascii="Calibri" w:eastAsia="Times New Roman" w:hAnsi="Calibri" w:cs="Calibri"/>
      <w:b/>
      <w:bCs/>
      <w:color w:val="81232C"/>
      <w:sz w:val="28"/>
      <w:szCs w:val="28"/>
      <w:lang w:eastAsia="en-CA"/>
    </w:rPr>
  </w:style>
  <w:style w:type="character" w:customStyle="1" w:styleId="Heading3Char">
    <w:name w:val="Heading 3 Char"/>
    <w:basedOn w:val="DefaultParagraphFont"/>
    <w:link w:val="Heading3"/>
    <w:uiPriority w:val="9"/>
    <w:rsid w:val="00D55A72"/>
    <w:rPr>
      <w:rFonts w:ascii="Calibri" w:eastAsia="Times New Roman" w:hAnsi="Calibri" w:cs="Calibri"/>
      <w:b/>
      <w:bCs/>
      <w:sz w:val="24"/>
      <w:szCs w:val="24"/>
      <w:lang w:eastAsia="en-CA"/>
    </w:rPr>
  </w:style>
  <w:style w:type="character" w:customStyle="1" w:styleId="Heading4Char">
    <w:name w:val="Heading 4 Char"/>
    <w:basedOn w:val="DefaultParagraphFont"/>
    <w:link w:val="Heading4"/>
    <w:uiPriority w:val="9"/>
    <w:semiHidden/>
    <w:rsid w:val="003B4819"/>
    <w:rPr>
      <w:rFonts w:asciiTheme="majorHAnsi" w:eastAsiaTheme="majorEastAsia" w:hAnsiTheme="majorHAnsi" w:cstheme="majorBidi"/>
      <w:color w:val="A90053" w:themeColor="accent6"/>
      <w:sz w:val="22"/>
      <w:szCs w:val="22"/>
    </w:rPr>
  </w:style>
  <w:style w:type="character" w:customStyle="1" w:styleId="Heading5Char">
    <w:name w:val="Heading 5 Char"/>
    <w:basedOn w:val="DefaultParagraphFont"/>
    <w:link w:val="Heading5"/>
    <w:uiPriority w:val="9"/>
    <w:semiHidden/>
    <w:rsid w:val="003B4819"/>
    <w:rPr>
      <w:rFonts w:asciiTheme="majorHAnsi" w:eastAsiaTheme="majorEastAsia" w:hAnsiTheme="majorHAnsi" w:cstheme="majorBidi"/>
      <w:i/>
      <w:iCs/>
      <w:color w:val="A90053" w:themeColor="accent6"/>
      <w:sz w:val="22"/>
      <w:szCs w:val="22"/>
    </w:rPr>
  </w:style>
  <w:style w:type="character" w:customStyle="1" w:styleId="Heading6Char">
    <w:name w:val="Heading 6 Char"/>
    <w:basedOn w:val="DefaultParagraphFont"/>
    <w:link w:val="Heading6"/>
    <w:uiPriority w:val="9"/>
    <w:semiHidden/>
    <w:rsid w:val="003B4819"/>
    <w:rPr>
      <w:rFonts w:asciiTheme="majorHAnsi" w:eastAsiaTheme="majorEastAsia" w:hAnsiTheme="majorHAnsi" w:cstheme="majorBidi"/>
      <w:color w:val="A90053" w:themeColor="accent6"/>
    </w:rPr>
  </w:style>
  <w:style w:type="character" w:customStyle="1" w:styleId="Heading7Char">
    <w:name w:val="Heading 7 Char"/>
    <w:basedOn w:val="DefaultParagraphFont"/>
    <w:link w:val="Heading7"/>
    <w:uiPriority w:val="9"/>
    <w:semiHidden/>
    <w:rsid w:val="003B4819"/>
    <w:rPr>
      <w:rFonts w:asciiTheme="majorHAnsi" w:eastAsiaTheme="majorEastAsia" w:hAnsiTheme="majorHAnsi" w:cstheme="majorBidi"/>
      <w:b/>
      <w:bCs/>
      <w:color w:val="A90053" w:themeColor="accent6"/>
    </w:rPr>
  </w:style>
  <w:style w:type="character" w:customStyle="1" w:styleId="Heading8Char">
    <w:name w:val="Heading 8 Char"/>
    <w:basedOn w:val="DefaultParagraphFont"/>
    <w:link w:val="Heading8"/>
    <w:uiPriority w:val="9"/>
    <w:semiHidden/>
    <w:rsid w:val="003B4819"/>
    <w:rPr>
      <w:rFonts w:asciiTheme="majorHAnsi" w:eastAsiaTheme="majorEastAsia" w:hAnsiTheme="majorHAnsi" w:cstheme="majorBidi"/>
      <w:b/>
      <w:bCs/>
      <w:i/>
      <w:iCs/>
      <w:color w:val="A90053" w:themeColor="accent6"/>
      <w:sz w:val="20"/>
      <w:szCs w:val="20"/>
    </w:rPr>
  </w:style>
  <w:style w:type="character" w:customStyle="1" w:styleId="Heading9Char">
    <w:name w:val="Heading 9 Char"/>
    <w:basedOn w:val="DefaultParagraphFont"/>
    <w:link w:val="Heading9"/>
    <w:uiPriority w:val="9"/>
    <w:semiHidden/>
    <w:rsid w:val="003B4819"/>
    <w:rPr>
      <w:rFonts w:asciiTheme="majorHAnsi" w:eastAsiaTheme="majorEastAsia" w:hAnsiTheme="majorHAnsi" w:cstheme="majorBidi"/>
      <w:i/>
      <w:iCs/>
      <w:color w:val="A90053" w:themeColor="accent6"/>
      <w:sz w:val="20"/>
      <w:szCs w:val="20"/>
    </w:rPr>
  </w:style>
  <w:style w:type="paragraph" w:styleId="Title">
    <w:name w:val="Title"/>
    <w:basedOn w:val="Normal"/>
    <w:next w:val="Normal"/>
    <w:link w:val="TitleChar"/>
    <w:uiPriority w:val="10"/>
    <w:qFormat/>
    <w:rsid w:val="003B481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B4819"/>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B481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B4819"/>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3B4819"/>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B4819"/>
    <w:rPr>
      <w:i/>
      <w:iCs/>
      <w:color w:val="262626" w:themeColor="text1" w:themeTint="D9"/>
    </w:rPr>
  </w:style>
  <w:style w:type="paragraph" w:styleId="ListParagraph">
    <w:name w:val="List Paragraph"/>
    <w:basedOn w:val="Normal"/>
    <w:uiPriority w:val="34"/>
    <w:qFormat/>
    <w:rsid w:val="008414A2"/>
    <w:pPr>
      <w:ind w:left="720"/>
      <w:contextualSpacing/>
    </w:pPr>
  </w:style>
  <w:style w:type="character" w:styleId="IntenseEmphasis">
    <w:name w:val="Intense Emphasis"/>
    <w:basedOn w:val="DefaultParagraphFont"/>
    <w:uiPriority w:val="21"/>
    <w:qFormat/>
    <w:rsid w:val="003B4819"/>
    <w:rPr>
      <w:b/>
      <w:bCs/>
      <w:i/>
      <w:iCs/>
    </w:rPr>
  </w:style>
  <w:style w:type="paragraph" w:styleId="IntenseQuote">
    <w:name w:val="Intense Quote"/>
    <w:basedOn w:val="Normal"/>
    <w:next w:val="Normal"/>
    <w:link w:val="IntenseQuoteChar"/>
    <w:uiPriority w:val="30"/>
    <w:qFormat/>
    <w:rsid w:val="003B4819"/>
    <w:pPr>
      <w:spacing w:before="160" w:after="160" w:line="264" w:lineRule="auto"/>
      <w:ind w:left="720" w:right="720"/>
      <w:jc w:val="center"/>
    </w:pPr>
    <w:rPr>
      <w:rFonts w:asciiTheme="majorHAnsi" w:eastAsiaTheme="majorEastAsia" w:hAnsiTheme="majorHAnsi" w:cstheme="majorBidi"/>
      <w:i/>
      <w:iCs/>
      <w:color w:val="A90053" w:themeColor="accent6"/>
      <w:sz w:val="32"/>
      <w:szCs w:val="32"/>
    </w:rPr>
  </w:style>
  <w:style w:type="character" w:customStyle="1" w:styleId="IntenseQuoteChar">
    <w:name w:val="Intense Quote Char"/>
    <w:basedOn w:val="DefaultParagraphFont"/>
    <w:link w:val="IntenseQuote"/>
    <w:uiPriority w:val="30"/>
    <w:rsid w:val="003B4819"/>
    <w:rPr>
      <w:rFonts w:asciiTheme="majorHAnsi" w:eastAsiaTheme="majorEastAsia" w:hAnsiTheme="majorHAnsi" w:cstheme="majorBidi"/>
      <w:i/>
      <w:iCs/>
      <w:color w:val="A90053" w:themeColor="accent6"/>
      <w:sz w:val="32"/>
      <w:szCs w:val="32"/>
    </w:rPr>
  </w:style>
  <w:style w:type="character" w:styleId="IntenseReference">
    <w:name w:val="Intense Reference"/>
    <w:basedOn w:val="DefaultParagraphFont"/>
    <w:uiPriority w:val="32"/>
    <w:qFormat/>
    <w:rsid w:val="003B4819"/>
    <w:rPr>
      <w:b/>
      <w:bCs/>
      <w:smallCaps/>
      <w:color w:val="A90053" w:themeColor="accent6"/>
    </w:rPr>
  </w:style>
  <w:style w:type="paragraph" w:styleId="Header">
    <w:name w:val="header"/>
    <w:basedOn w:val="Normal"/>
    <w:link w:val="HeaderChar"/>
    <w:uiPriority w:val="99"/>
    <w:unhideWhenUsed/>
    <w:rsid w:val="00841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4A2"/>
    <w:rPr>
      <w:rFonts w:ascii="Calibri" w:hAnsi="Calibri" w:cs="Calibri"/>
      <w:sz w:val="22"/>
    </w:rPr>
  </w:style>
  <w:style w:type="paragraph" w:styleId="Footer">
    <w:name w:val="footer"/>
    <w:basedOn w:val="Normal"/>
    <w:link w:val="FooterChar"/>
    <w:uiPriority w:val="99"/>
    <w:unhideWhenUsed/>
    <w:rsid w:val="00841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4A2"/>
    <w:rPr>
      <w:rFonts w:ascii="Calibri" w:hAnsi="Calibri" w:cs="Calibri"/>
      <w:sz w:val="22"/>
    </w:rPr>
  </w:style>
  <w:style w:type="paragraph" w:styleId="Caption">
    <w:name w:val="caption"/>
    <w:basedOn w:val="Normal"/>
    <w:next w:val="Normal"/>
    <w:uiPriority w:val="35"/>
    <w:semiHidden/>
    <w:unhideWhenUsed/>
    <w:qFormat/>
    <w:rsid w:val="003B4819"/>
    <w:pPr>
      <w:spacing w:line="240" w:lineRule="auto"/>
    </w:pPr>
    <w:rPr>
      <w:b/>
      <w:bCs/>
      <w:smallCaps/>
      <w:color w:val="595959" w:themeColor="text1" w:themeTint="A6"/>
    </w:rPr>
  </w:style>
  <w:style w:type="character" w:styleId="Strong">
    <w:name w:val="Strong"/>
    <w:basedOn w:val="DefaultParagraphFont"/>
    <w:uiPriority w:val="22"/>
    <w:qFormat/>
    <w:rsid w:val="003B4819"/>
    <w:rPr>
      <w:b/>
      <w:bCs/>
    </w:rPr>
  </w:style>
  <w:style w:type="character" w:styleId="Emphasis">
    <w:name w:val="Emphasis"/>
    <w:uiPriority w:val="20"/>
    <w:qFormat/>
    <w:rsid w:val="00D55A72"/>
    <w:rPr>
      <w:rFonts w:ascii="Calibri" w:eastAsia="Times New Roman" w:hAnsi="Calibri" w:cs="Calibri"/>
      <w:b/>
      <w:bCs/>
      <w:i/>
      <w:iCs/>
      <w:color w:val="FFFFFF" w:themeColor="background1"/>
      <w:sz w:val="20"/>
      <w:szCs w:val="20"/>
      <w:lang w:eastAsia="en-CA"/>
    </w:rPr>
  </w:style>
  <w:style w:type="paragraph" w:styleId="NoSpacing">
    <w:name w:val="No Spacing"/>
    <w:uiPriority w:val="1"/>
    <w:qFormat/>
    <w:rsid w:val="003B4819"/>
    <w:pPr>
      <w:spacing w:after="0" w:line="240" w:lineRule="auto"/>
    </w:pPr>
  </w:style>
  <w:style w:type="character" w:styleId="SubtleEmphasis">
    <w:name w:val="Subtle Emphasis"/>
    <w:basedOn w:val="DefaultParagraphFont"/>
    <w:uiPriority w:val="19"/>
    <w:qFormat/>
    <w:rsid w:val="003B4819"/>
    <w:rPr>
      <w:i/>
      <w:iCs/>
    </w:rPr>
  </w:style>
  <w:style w:type="character" w:styleId="SubtleReference">
    <w:name w:val="Subtle Reference"/>
    <w:basedOn w:val="DefaultParagraphFont"/>
    <w:uiPriority w:val="31"/>
    <w:qFormat/>
    <w:rsid w:val="003B4819"/>
    <w:rPr>
      <w:smallCaps/>
      <w:color w:val="595959" w:themeColor="text1" w:themeTint="A6"/>
    </w:rPr>
  </w:style>
  <w:style w:type="character" w:styleId="BookTitle">
    <w:name w:val="Book Title"/>
    <w:basedOn w:val="DefaultParagraphFont"/>
    <w:uiPriority w:val="33"/>
    <w:qFormat/>
    <w:rsid w:val="003B4819"/>
    <w:rPr>
      <w:b/>
      <w:bCs/>
      <w:caps w:val="0"/>
      <w:smallCaps/>
      <w:spacing w:val="7"/>
      <w:sz w:val="21"/>
      <w:szCs w:val="21"/>
    </w:rPr>
  </w:style>
  <w:style w:type="paragraph" w:styleId="TOCHeading">
    <w:name w:val="TOC Heading"/>
    <w:basedOn w:val="Heading1"/>
    <w:next w:val="Normal"/>
    <w:uiPriority w:val="39"/>
    <w:semiHidden/>
    <w:unhideWhenUsed/>
    <w:qFormat/>
    <w:rsid w:val="003B4819"/>
    <w:pPr>
      <w:outlineLvl w:val="9"/>
    </w:pPr>
  </w:style>
  <w:style w:type="paragraph" w:styleId="NormalWeb">
    <w:name w:val="Normal (Web)"/>
    <w:basedOn w:val="Normal"/>
    <w:uiPriority w:val="99"/>
    <w:semiHidden/>
    <w:unhideWhenUsed/>
    <w:rsid w:val="00D55A7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D55A72"/>
    <w:rPr>
      <w:color w:val="0000FF"/>
      <w:u w:val="single"/>
    </w:rPr>
  </w:style>
  <w:style w:type="character" w:customStyle="1" w:styleId="dt-column-title">
    <w:name w:val="dt-column-title"/>
    <w:basedOn w:val="DefaultParagraphFont"/>
    <w:rsid w:val="00D55A72"/>
  </w:style>
  <w:style w:type="table" w:styleId="PlainTable1">
    <w:name w:val="Plain Table 1"/>
    <w:basedOn w:val="TableNormal"/>
    <w:uiPriority w:val="41"/>
    <w:rsid w:val="00D55A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D55A72"/>
    <w:pPr>
      <w:spacing w:after="100"/>
    </w:pPr>
  </w:style>
  <w:style w:type="paragraph" w:styleId="TOC2">
    <w:name w:val="toc 2"/>
    <w:basedOn w:val="Normal"/>
    <w:next w:val="Normal"/>
    <w:autoRedefine/>
    <w:uiPriority w:val="39"/>
    <w:unhideWhenUsed/>
    <w:rsid w:val="00D55A72"/>
    <w:pPr>
      <w:spacing w:after="100"/>
      <w:ind w:left="220"/>
    </w:pPr>
  </w:style>
  <w:style w:type="character" w:styleId="UnresolvedMention">
    <w:name w:val="Unresolved Mention"/>
    <w:basedOn w:val="DefaultParagraphFont"/>
    <w:uiPriority w:val="99"/>
    <w:semiHidden/>
    <w:unhideWhenUsed/>
    <w:rsid w:val="001756C6"/>
    <w:rPr>
      <w:color w:val="605E5C"/>
      <w:shd w:val="clear" w:color="auto" w:fill="E1DFDD"/>
    </w:rPr>
  </w:style>
  <w:style w:type="table" w:styleId="TableGrid">
    <w:name w:val="Table Grid"/>
    <w:basedOn w:val="TableNormal"/>
    <w:uiPriority w:val="39"/>
    <w:rsid w:val="002C3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IPC Word Theme 2025">
  <a:themeElements>
    <a:clrScheme name="OIPC_colors">
      <a:dk1>
        <a:sysClr val="windowText" lastClr="000000"/>
      </a:dk1>
      <a:lt1>
        <a:sysClr val="window" lastClr="FFFFFF"/>
      </a:lt1>
      <a:dk2>
        <a:srgbClr val="0C0C0C"/>
      </a:dk2>
      <a:lt2>
        <a:srgbClr val="EAE2DD"/>
      </a:lt2>
      <a:accent1>
        <a:srgbClr val="81232C"/>
      </a:accent1>
      <a:accent2>
        <a:srgbClr val="007684"/>
      </a:accent2>
      <a:accent3>
        <a:srgbClr val="CECE2B"/>
      </a:accent3>
      <a:accent4>
        <a:srgbClr val="999200"/>
      </a:accent4>
      <a:accent5>
        <a:srgbClr val="D79415"/>
      </a:accent5>
      <a:accent6>
        <a:srgbClr val="A90053"/>
      </a:accent6>
      <a:hlink>
        <a:srgbClr val="0070C0"/>
      </a:hlink>
      <a:folHlink>
        <a:srgbClr val="540029"/>
      </a:folHlink>
    </a:clrScheme>
    <a:fontScheme name="OIP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2653</Words>
  <Characters>14382</Characters>
  <Application>Microsoft Office Word</Application>
  <DocSecurity>0</DocSecurity>
  <Lines>575</Lines>
  <Paragraphs>116</Paragraphs>
  <ScaleCrop>false</ScaleCrop>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2026-04-15T21:05:00Z</dcterms:created>
  <dcterms:modified xsi:type="dcterms:W3CDTF">2026-04-15T21:06:00Z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2026-04-15T21:06:05Z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697c94c7-4045-438f-ba38-311454171aae</vt:lpwstr>
  </property>
  <property fmtid="{D5CDD505-2E9C-101B-9397-08002B2CF9AE}" pid="7" name="MSIP_Label_defa4170-0d19-0005-0004-bc88714345d2_ActionId">
    <vt:lpwstr>93c0b41d-0144-417d-8802-fc541ddfc1ee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